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ind w:hanging="0"/>
        <w:jc w:val="center"/>
        <w:rPr>
          <w:color w:val="000000"/>
        </w:rPr>
      </w:pPr>
      <w:r>
        <w:rPr>
          <w:b/>
          <w:bCs/>
          <w:iCs/>
          <w:color w:val="000000"/>
          <w:sz w:val="19"/>
          <w:szCs w:val="19"/>
        </w:rPr>
        <w:t>ДОГОВОР № ___/_______________</w:t>
      </w:r>
    </w:p>
    <w:p>
      <w:pPr>
        <w:pStyle w:val="Style19"/>
        <w:ind w:hanging="0"/>
        <w:jc w:val="center"/>
        <w:rPr>
          <w:color w:val="000000"/>
        </w:rPr>
      </w:pPr>
      <w:r>
        <w:rPr>
          <w:b/>
          <w:bCs/>
          <w:color w:val="000000"/>
          <w:sz w:val="22"/>
          <w:szCs w:val="22"/>
        </w:rPr>
        <w:t>об экстренном вызове наряда войск национальной гвардии в случае угрозы личной или имущественной безопасности, техническом обслуживании технических средств охраны.</w:t>
      </w:r>
    </w:p>
    <w:p>
      <w:pPr>
        <w:pStyle w:val="Normal"/>
        <w:shd w:val="clear" w:color="auto" w:fill="FFFFFF"/>
        <w:ind w:right="788" w:firstLine="567"/>
        <w:jc w:val="center"/>
        <w:rPr>
          <w:color w:val="000000"/>
          <w:spacing w:val="-1"/>
        </w:rPr>
      </w:pPr>
      <w:r>
        <w:rPr>
          <w:color w:val="000000"/>
          <w:spacing w:val="-1"/>
        </w:rPr>
      </w:r>
    </w:p>
    <w:p>
      <w:pPr>
        <w:pStyle w:val="Normal"/>
        <w:rPr>
          <w:color w:val="000000"/>
        </w:rPr>
      </w:pPr>
      <w:r>
        <w:rPr>
          <w:b/>
          <w:color w:val="000000"/>
        </w:rPr>
        <w:t>г. Орел</w:t>
      </w:r>
      <w:r>
        <w:rPr>
          <w:color w:val="000000"/>
        </w:rPr>
        <w:tab/>
        <w:tab/>
        <w:tab/>
        <w:tab/>
        <w:tab/>
        <w:tab/>
        <w:tab/>
        <w:tab/>
        <w:tab/>
        <w:t xml:space="preserve">                           </w:t>
      </w:r>
      <w:r>
        <w:rPr>
          <w:b/>
          <w:color w:val="000000"/>
        </w:rPr>
        <w:t>« __ » ________ 2025 г</w:t>
      </w:r>
      <w:r>
        <w:rPr>
          <w:color w:val="000000"/>
        </w:rPr>
        <w:t>.</w:t>
      </w:r>
    </w:p>
    <w:p>
      <w:pPr>
        <w:pStyle w:val="Normal"/>
        <w:ind w:firstLine="708"/>
        <w:rPr>
          <w:color w:val="000000"/>
        </w:rPr>
      </w:pPr>
      <w:r>
        <w:rPr>
          <w:color w:val="000000"/>
        </w:rPr>
      </w:r>
    </w:p>
    <w:p>
      <w:pPr>
        <w:pStyle w:val="Normal"/>
        <w:shd w:val="clear" w:color="auto" w:fill="FFFFFF"/>
        <w:tabs>
          <w:tab w:val="clear" w:pos="709"/>
          <w:tab w:val="left" w:pos="9840" w:leader="underscore"/>
        </w:tabs>
        <w:rPr>
          <w:color w:val="000000"/>
        </w:rPr>
      </w:pPr>
      <w:r>
        <w:rPr>
          <w:b/>
          <w:color w:val="000000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Орловской области» (ФГКУ «УВО ВНГ России по Орловской области»)</w:t>
      </w:r>
      <w:r>
        <w:rPr>
          <w:color w:val="000000"/>
        </w:rPr>
        <w:t>, именуемое в дальнейшем «ОХРАНА»,  в лице начальника Управления вневедомственной охраны по городу Орлу - филиала федерального государственного казенного учреждения «Управление вневедомственной охраны войск национальной гвардии Российской Федерации по Орловской области» (УВО по г.Орлу – ФФГКУ «УВО ВНГ России по Орловской области»)</w:t>
      </w:r>
      <w:r>
        <w:rPr>
          <w:color w:val="000000"/>
        </w:rPr>
        <w:t xml:space="preserve">, действующего на основании Положения о филиале и доверенности </w:t>
      </w:r>
    </w:p>
    <w:p>
      <w:pPr>
        <w:pStyle w:val="Normal"/>
        <w:shd w:val="clear" w:color="auto" w:fill="FFFFFF"/>
        <w:tabs>
          <w:tab w:val="clear" w:pos="709"/>
          <w:tab w:val="left" w:pos="4536" w:leader="none"/>
          <w:tab w:val="left" w:pos="5387" w:leader="none"/>
          <w:tab w:val="left" w:pos="7938" w:leader="none"/>
          <w:tab w:val="left" w:pos="9840" w:leader="underscore"/>
        </w:tabs>
        <w:rPr/>
      </w:pPr>
      <w:r>
        <w:rPr>
          <w:b/>
        </w:rPr>
        <w:t>Федеральное государственное унитарное предприятие «Охрана» Федеральной службы войск национальной гвардии Российской Федерации</w:t>
      </w:r>
      <w:r>
        <w:rPr/>
        <w:t xml:space="preserve"> («ФГУП «Охрана» Росгвардии), именуемое в дальнейшем «ИСПОЛНИТЕЛЬ», в лице директора филиала ФГУП «Охрана» Росгвардии по Орловской области , действующего на основании Устава, Положения о филиале и доверенности</w:t>
      </w:r>
      <w:r>
        <w:rPr>
          <w:bCs/>
        </w:rPr>
        <w:t xml:space="preserve"> </w:t>
      </w:r>
      <w:r>
        <w:rPr/>
        <w:t>,</w:t>
      </w:r>
    </w:p>
    <w:p>
      <w:pPr>
        <w:pStyle w:val="Normal"/>
        <w:shd w:val="clear" w:color="auto" w:fill="FFFFFF"/>
        <w:tabs>
          <w:tab w:val="clear" w:pos="709"/>
          <w:tab w:val="left" w:pos="4536" w:leader="none"/>
          <w:tab w:val="left" w:pos="5387" w:leader="none"/>
          <w:tab w:val="left" w:pos="7938" w:leader="none"/>
          <w:tab w:val="left" w:pos="9840" w:leader="underscore"/>
        </w:tabs>
        <w:rPr>
          <w:spacing w:val="-2"/>
        </w:rPr>
      </w:pPr>
      <w:r>
        <w:rPr>
          <w:b/>
          <w:spacing w:val="5"/>
        </w:rPr>
        <w:t>Фамилия Имя Отчество</w:t>
      </w:r>
      <w:r>
        <w:rPr>
          <w:spacing w:val="5"/>
        </w:rPr>
        <w:t xml:space="preserve">, «__» ________ года рождения, место рождения ______________________, </w:t>
      </w:r>
      <w:r>
        <w:rPr>
          <w:spacing w:val="-1"/>
        </w:rPr>
        <w:t xml:space="preserve">зарегистрированный по адресу: </w:t>
      </w:r>
      <w:r>
        <w:rPr>
          <w:spacing w:val="5"/>
        </w:rPr>
        <w:t xml:space="preserve">______________________, </w:t>
      </w:r>
      <w:r>
        <w:rPr/>
        <w:t xml:space="preserve">место жительства: </w:t>
      </w:r>
      <w:r>
        <w:rPr>
          <w:spacing w:val="5"/>
        </w:rPr>
        <w:t xml:space="preserve">______________________, </w:t>
      </w:r>
      <w:r>
        <w:rPr>
          <w:spacing w:val="-2"/>
        </w:rPr>
        <w:t xml:space="preserve">контактный телефон: </w:t>
      </w:r>
      <w:r>
        <w:rPr>
          <w:spacing w:val="5"/>
        </w:rPr>
        <w:t xml:space="preserve">______________________, </w:t>
      </w:r>
      <w:r>
        <w:rPr/>
        <w:t>паспорт серии ________ № ________</w:t>
      </w:r>
      <w:r>
        <w:rPr>
          <w:rStyle w:val="Style14"/>
          <w:b w:val="false"/>
          <w:sz w:val="20"/>
        </w:rPr>
        <w:t xml:space="preserve">кем и когда выдан, СНИЛС __-__-__-__-, </w:t>
      </w:r>
      <w:r>
        <w:rPr>
          <w:spacing w:val="-1"/>
        </w:rPr>
        <w:t xml:space="preserve">именуемый в дальнейшем «ЗАКАЗЧИК», при совместном упоминании  «СТОРОНЫ», заключили настоящий Договор о </w:t>
      </w:r>
      <w:r>
        <w:rPr>
          <w:spacing w:val="-2"/>
        </w:rPr>
        <w:t>нижеследующем:</w:t>
      </w:r>
    </w:p>
    <w:p>
      <w:pPr>
        <w:pStyle w:val="Normal"/>
        <w:shd w:val="clear" w:color="auto" w:fill="FFFFFF"/>
        <w:tabs>
          <w:tab w:val="clear" w:pos="709"/>
          <w:tab w:val="left" w:pos="4536" w:leader="none"/>
          <w:tab w:val="left" w:pos="5387" w:leader="none"/>
          <w:tab w:val="left" w:pos="7938" w:leader="none"/>
          <w:tab w:val="left" w:pos="9840" w:leader="underscore"/>
        </w:tabs>
        <w:rPr>
          <w:spacing w:val="-20"/>
        </w:rPr>
      </w:pPr>
      <w:r>
        <w:rPr>
          <w:spacing w:val="-20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4565" w:leader="none"/>
        </w:tabs>
        <w:ind w:left="4111" w:hanging="360"/>
        <w:rPr>
          <w:b/>
          <w:b/>
        </w:rPr>
      </w:pPr>
      <w:r>
        <w:rPr>
          <w:b/>
        </w:rPr>
        <w:t>ПРЕДМЕТ ДОГОВОРА</w:t>
      </w:r>
    </w:p>
    <w:p>
      <w:pPr>
        <w:pStyle w:val="ListParagraph"/>
        <w:ind w:left="0" w:firstLine="567"/>
        <w:rPr/>
      </w:pPr>
      <w:r>
        <w:rPr/>
        <w:t xml:space="preserve">1.1. «ОХРАНА» принимает на себя обязательства по осуществлению контроля за состоянием средств тревожной сигнализации, установленных в помещении (далее – «ОБЪЕКТ») и экстренному выезду группы задержания по сигналу «Тревога», поступившему из «ОБЪЕКТА», расположенного по адресу: </w:t>
      </w:r>
      <w:r>
        <w:rPr>
          <w:spacing w:val="5"/>
        </w:rPr>
        <w:t xml:space="preserve">______________________, </w:t>
      </w:r>
      <w:r>
        <w:rPr/>
        <w:t>для принятия мер к задержанию правонарушителей.</w:t>
      </w:r>
    </w:p>
    <w:p>
      <w:pPr>
        <w:pStyle w:val="Normal"/>
        <w:rPr>
          <w:b/>
          <w:b/>
          <w:u w:val="single"/>
        </w:rPr>
      </w:pPr>
      <w:r>
        <w:rPr/>
        <w:t xml:space="preserve">Контроль за состоянием средств тревожной сигнализации осуществляется посредством пункта централизованного наблюдения (ПЦН) с момента приема «ОБЪЕКТА» на ПЦО до его снятия в период времени: </w:t>
      </w:r>
      <w:r>
        <w:rPr>
          <w:b/>
          <w:u w:val="single"/>
        </w:rPr>
        <w:t>ежедневно, круглосуточно.</w:t>
      </w:r>
    </w:p>
    <w:p>
      <w:pPr>
        <w:pStyle w:val="ListParagraph"/>
        <w:ind w:left="0" w:firstLine="567"/>
        <w:rPr/>
      </w:pPr>
      <w:r>
        <w:rPr/>
        <w:t>1.2. «ИСПОЛНИТЕЛЬ» оказывает услуги по техническому обслуживанию комплекса технических средств охраны (далее - «КОМПЛЕКС»), установленного на «ОБЪЕКТЕ», указанных в Приложении № 1 к настоящему Договору (Перечень квартир/МПХИГ и стоимость предоставляемых услуг).</w:t>
      </w:r>
    </w:p>
    <w:p>
      <w:pPr>
        <w:pStyle w:val="Normal"/>
        <w:rPr/>
      </w:pPr>
      <w:r>
        <w:rPr/>
        <w:t>Состав комплекса технических средств охраны указывается в Приложении № 2 к Договору (Состав «КОМПЛЕКСА»).</w:t>
      </w:r>
    </w:p>
    <w:p>
      <w:pPr>
        <w:pStyle w:val="ListParagraph"/>
        <w:ind w:left="0" w:firstLine="567"/>
        <w:rPr/>
      </w:pPr>
      <w:r>
        <w:rPr/>
        <w:t>Данные услуги заключаются в осуществлении организационно-технических мероприятий планово- профилактического характера по поддержанию комплекса технических средств охраны в состоянии, соответствующем требованиям технической документации на комплекс технических средств охраны в течение всего срока эксплуатации.</w:t>
      </w:r>
    </w:p>
    <w:p>
      <w:pPr>
        <w:pStyle w:val="ListParagraph"/>
        <w:ind w:left="0" w:firstLine="567"/>
        <w:rPr/>
      </w:pPr>
      <w:r>
        <w:rPr/>
        <w:t>1.3. «ЗАКАЗЧИК» принимает на себя обязательства по созданию надлежащих условий для исполнения обязательств «ОХРАНОЙ» и «ИСПОЛНИТЕЛЕМ» и своевременной оплате предоставляемых ими услуг.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numPr>
          <w:ilvl w:val="0"/>
          <w:numId w:val="1"/>
        </w:numPr>
        <w:ind w:left="4111" w:hanging="360"/>
        <w:rPr>
          <w:b/>
          <w:b/>
        </w:rPr>
      </w:pPr>
      <w:r>
        <w:rPr>
          <w:b/>
        </w:rPr>
        <w:t>ОБЩИЕ ПОЛОЖЕНИЯ</w:t>
      </w:r>
    </w:p>
    <w:p>
      <w:pPr>
        <w:pStyle w:val="ListParagraph"/>
        <w:ind w:left="0" w:firstLine="567"/>
        <w:rPr>
          <w:b/>
          <w:b/>
        </w:rPr>
      </w:pPr>
      <w:r>
        <w:rPr/>
        <w:t>2.1. «ОХРАНА» и «ИСПОЛНИТЕЛЬ» рекомендуют, а «ЗАКАЗЧИК» определяет места установки извещателя тревожной сигнализации.</w:t>
      </w:r>
    </w:p>
    <w:p>
      <w:pPr>
        <w:pStyle w:val="ListParagraph"/>
        <w:ind w:left="0" w:firstLine="567"/>
        <w:rPr/>
      </w:pPr>
      <w:r>
        <w:rPr/>
        <w:t>2.2. Договор заключается после оборудования «ОБЪЕКТА» средствами тревожной сигнализацией, контрольной проверки её работоспособности и сдачи «ОХРАНЕ».</w:t>
      </w:r>
    </w:p>
    <w:p>
      <w:pPr>
        <w:pStyle w:val="ListParagraph"/>
        <w:ind w:left="0" w:firstLine="567"/>
        <w:rPr/>
      </w:pPr>
      <w:r>
        <w:rPr/>
        <w:t>Действие настоящего Договора приостанавливается на период проведения капитального или косметического ремонта помещений «ЗАКАЗЧИКА», где установлена система тревожной сигнализации, о чем «ЗАКАЗЧИК» уведомляет «ОХРАНУ» и «ИСПОЛНИТЕЛЯ» не менее, чем за 15 (пятнадцать) календарных дней до начала проведения ремонта.</w:t>
      </w:r>
    </w:p>
    <w:p>
      <w:pPr>
        <w:pStyle w:val="Normal"/>
        <w:rPr>
          <w:color w:val="000000"/>
        </w:rPr>
      </w:pPr>
      <w:r>
        <w:rPr/>
        <w:t xml:space="preserve">2.3. </w:t>
      </w:r>
      <w:r>
        <w:rPr>
          <w:color w:val="000000"/>
        </w:rPr>
        <w:t>«ОХРАНА» совместно с «ЗАКАЗЧИКОМ» и «ИСПОЛНИТЕЛЕМ» производит обследование инженерно-технической укрепленности и технического состояния технических средств сигнализации «ОБЪЕКТА» с составлением акта обследования (далее – Акт, Акт обследования) за подписью «ЗАКАЗЧИКА» и уполномоченных лиц «ОХРАНЫ» и «ИСПОЛНИТЕЛЯ», я указанием выявленных недостатков.</w:t>
      </w:r>
    </w:p>
    <w:p>
      <w:pPr>
        <w:pStyle w:val="Normal"/>
        <w:rPr>
          <w:color w:val="000000"/>
        </w:rPr>
      </w:pPr>
      <w:r>
        <w:rPr>
          <w:color w:val="000000"/>
        </w:rPr>
        <w:t>Требования (мероприятия) по инженерно-технической укрепленности и оснащенности техническими средствами сигнализации «ОБЪЕКТА», указанные в Акте обследования, являются обязательным для исполнения «ЗАКАЗЧИКОМ».</w:t>
      </w:r>
    </w:p>
    <w:p>
      <w:pPr>
        <w:pStyle w:val="Normal"/>
        <w:rPr>
          <w:color w:val="000000"/>
        </w:rPr>
      </w:pPr>
      <w:r>
        <w:rPr>
          <w:color w:val="000000"/>
        </w:rPr>
        <w:t xml:space="preserve">2.3.1. </w:t>
      </w:r>
      <w:r>
        <w:rPr/>
        <w:t xml:space="preserve">В Акте указываются требования и </w:t>
      </w:r>
      <w:r>
        <w:rPr>
          <w:color w:val="000000"/>
        </w:rPr>
        <w:t xml:space="preserve">мероприятия </w:t>
      </w:r>
      <w:r>
        <w:rPr/>
        <w:t xml:space="preserve"> по инженерно-технической укрепленности «ОБЪЕКТА» и оборудованию техническими средствами сигнализации, которые «ЗАКАЗЧИКУ» необходимо выполнить в целях обеспечения сохранности своего имущества. Также в Акте обследования указываются результаты проверки работоспособности технических средств сигнализации.  «ЗАКАЗЧИК» обязан письменно информировать «ОХРАНУ» о выполнении, указанных в Акте требовани</w:t>
      </w:r>
      <w:r>
        <w:rPr>
          <w:color w:val="000000"/>
        </w:rPr>
        <w:t xml:space="preserve">й </w:t>
      </w:r>
      <w:r>
        <w:rPr/>
        <w:t xml:space="preserve">и </w:t>
      </w:r>
      <w:r>
        <w:rPr>
          <w:color w:val="000000"/>
        </w:rPr>
        <w:t xml:space="preserve">мероприятий </w:t>
      </w:r>
      <w:r>
        <w:rPr/>
        <w:t xml:space="preserve"> по инженерно-технической укрепленности «ОБЪЕКТА» и оборудованию техническими средствами сигнализации. При этом, </w:t>
      </w:r>
      <w:r>
        <w:rPr>
          <w:color w:val="000000"/>
        </w:rPr>
        <w:t>к условиям настоящего Договора, применяются требования актов обследования, составленных до подписания настоящего Договора, в том числе по ранее заключенным договорам по одному и тому же «ОБЪЕКТУ».</w:t>
      </w:r>
    </w:p>
    <w:p>
      <w:pPr>
        <w:pStyle w:val="Normal"/>
        <w:rPr>
          <w:color w:val="000000"/>
        </w:rPr>
      </w:pPr>
      <w:r>
        <w:rPr>
          <w:color w:val="000000"/>
        </w:rPr>
        <w:t>2.3.2. «ОХРАНА» имеет право внеочередного обследования «ОБЪЕКТА» на предмет проверки состояния инженерно-технической укрепленности и работоспособности ТС.</w:t>
      </w:r>
    </w:p>
    <w:p>
      <w:pPr>
        <w:pStyle w:val="Normal"/>
        <w:rPr/>
      </w:pPr>
      <w:r>
        <w:rPr>
          <w:color w:val="000000"/>
        </w:rPr>
        <w:t>2.3.3. Акты обследования  являются неотъемлемой частью настоящего Догов</w:t>
      </w:r>
      <w:r>
        <w:rPr/>
        <w:t>ора.</w:t>
      </w:r>
    </w:p>
    <w:p>
      <w:pPr>
        <w:pStyle w:val="Normal"/>
        <w:rPr/>
      </w:pPr>
      <w:r>
        <w:rPr/>
        <w:t>В случае расторжения настоящего Договора и заключения аналогичного договора на оказание аналогичных услуг по  охране (в связи с изменением тарифов, изменения наименования, реквизитов «СТОРОН» и пр.), в отношении одного и того же «ОБЪЕКТА», Акты обследования, составленные в ходе исполнения настоящего Договора, распространяют свое действие на условия заключенного ан</w:t>
      </w:r>
      <w:r>
        <w:rPr>
          <w:color w:val="000000"/>
        </w:rPr>
        <w:t>алогичного договора на оказание услуг по охране.</w:t>
      </w:r>
    </w:p>
    <w:p>
      <w:pPr>
        <w:pStyle w:val="Normal"/>
        <w:rPr>
          <w:color w:val="000000"/>
          <w:spacing w:val="-1"/>
        </w:rPr>
      </w:pPr>
      <w:r>
        <w:rPr/>
        <w:t xml:space="preserve">2.4. </w:t>
      </w:r>
      <w:r>
        <w:rPr>
          <w:color w:val="000000"/>
        </w:rPr>
        <w:t xml:space="preserve">«ОБЪЕКТ» должен удовлетворять требованиям «ОХРАНЫ» по инженерно-технической укрепленности помещений с </w:t>
      </w:r>
      <w:r>
        <w:rPr>
          <w:color w:val="000000"/>
          <w:spacing w:val="-1"/>
        </w:rPr>
        <w:t>личным имуществом граждан и их оснащенности техническими средствами сигнализации в соответствии с требованиями руководящих документов Росгвардии.</w:t>
      </w:r>
    </w:p>
    <w:p>
      <w:pPr>
        <w:pStyle w:val="Normal"/>
        <w:shd w:val="clear" w:color="auto" w:fill="FFFFFF"/>
        <w:rPr>
          <w:color w:val="000000"/>
        </w:rPr>
      </w:pPr>
      <w:r>
        <w:rPr>
          <w:color w:val="000000"/>
          <w:spacing w:val="-1"/>
        </w:rPr>
        <w:t xml:space="preserve">Под централизованную охрану принимаются «ОБЪЕКТЫ», имеющие работоспособные окна, форточки, входные и балконные двери и </w:t>
      </w:r>
      <w:r>
        <w:rPr>
          <w:color w:val="000000"/>
          <w:spacing w:val="-3"/>
        </w:rPr>
        <w:t>запоры на них.</w:t>
      </w:r>
    </w:p>
    <w:p>
      <w:pPr>
        <w:pStyle w:val="Normal"/>
        <w:shd w:val="clear" w:color="auto" w:fill="FFFFFF"/>
        <w:rPr>
          <w:spacing w:val="-3"/>
        </w:rPr>
      </w:pPr>
      <w:r>
        <w:rPr>
          <w:color w:val="000000"/>
          <w:spacing w:val="-3"/>
        </w:rPr>
        <w:t>2.5. Договор заключается после оборудования «ОБЪЕКТА» техничес</w:t>
      </w:r>
      <w:r>
        <w:rPr>
          <w:spacing w:val="-3"/>
        </w:rPr>
        <w:t>кими средствами сигнализации, контрольной проверки их работо</w:t>
      </w:r>
      <w:r>
        <w:rPr>
          <w:color w:val="000000"/>
          <w:spacing w:val="-3"/>
        </w:rPr>
        <w:t>способности и сдаче «ОХРАНЕ».</w:t>
      </w:r>
    </w:p>
    <w:p>
      <w:pPr>
        <w:pStyle w:val="Normal"/>
        <w:shd w:val="clear" w:color="auto" w:fill="FFFFFF"/>
        <w:rPr>
          <w:color w:val="000000"/>
        </w:rPr>
      </w:pPr>
      <w:r>
        <w:rPr>
          <w:color w:val="000000"/>
          <w:spacing w:val="-6"/>
        </w:rPr>
        <w:t xml:space="preserve">2.6. </w:t>
      </w:r>
      <w:r>
        <w:rPr>
          <w:color w:val="000000"/>
        </w:rPr>
        <w:t>Инженерно-техническая</w:t>
      </w:r>
      <w:r>
        <w:rPr>
          <w:color w:val="000000"/>
          <w:spacing w:val="-6"/>
        </w:rPr>
        <w:t xml:space="preserve">  укрепленность «ОБЪЕКТА» должна обеспечивать надежное функционирование ТС, установленных на «ОБЪЕКТЕ» и соответствовать требованиям  действующего законодательства.</w:t>
      </w:r>
    </w:p>
    <w:p>
      <w:pPr>
        <w:pStyle w:val="Normal"/>
        <w:shd w:val="clear" w:color="auto" w:fill="FFFFFF"/>
        <w:rPr>
          <w:color w:val="000000"/>
        </w:rPr>
      </w:pPr>
      <w:r>
        <w:rPr>
          <w:color w:val="000000"/>
          <w:spacing w:val="-6"/>
        </w:rPr>
        <w:t>2.7. Указания «ОХРАНЫ»,  предусмотренные требованиями действующих нормативных и руководящих  документов по соблюдению правил эксплуатации и содержания  ТС, а также по устранению недостатков в технической укрепленности «ОБЪЕКТА», отрицательно влияющих на работоспособность сигнализации, являются для «ИСПОЛНИТЕЛЯ» и «ЗАКАЗЧИКА» обязательными.</w:t>
      </w:r>
    </w:p>
    <w:p>
      <w:pPr>
        <w:pStyle w:val="Normal"/>
        <w:shd w:val="clear" w:color="auto" w:fill="FFFFFF"/>
        <w:rPr/>
      </w:pPr>
      <w:r>
        <w:rPr>
          <w:color w:val="000000"/>
        </w:rPr>
        <w:t>По вопросам инженерно-технической укрепленности</w:t>
      </w:r>
      <w:r>
        <w:rPr/>
        <w:t xml:space="preserve"> «ОБЪЕКТА» «СТОРОНЫ» руководствуются требованиями норм</w:t>
      </w:r>
      <w:r>
        <w:rPr>
          <w:color w:val="000000"/>
        </w:rPr>
        <w:t>ативных актов и руководящих документов Росгвардии и МВД России.</w:t>
      </w:r>
    </w:p>
    <w:p>
      <w:pPr>
        <w:pStyle w:val="ListParagraph"/>
        <w:ind w:left="0" w:firstLine="567"/>
        <w:rPr>
          <w:b/>
          <w:b/>
        </w:rPr>
      </w:pPr>
      <w:r>
        <w:rPr/>
        <w:t>2.8. Аппаратура тревожной сигнализации, устанавливаемая на «ОБЪЕКТЕ» без оплаты её стоимости, является собственностью «ОХРАНЫ» и подлежит возврату при расторжении или приостановлении действия настоящего Договора.</w:t>
      </w:r>
    </w:p>
    <w:p>
      <w:pPr>
        <w:pStyle w:val="ListParagraph"/>
        <w:ind w:left="0" w:firstLine="567"/>
        <w:rPr/>
      </w:pPr>
      <w:r>
        <w:rPr/>
        <w:t>2.9. «ОХРАНА» и «ИСПОЛНИТЕЛЬ» имеют право использовать переданные «ЗАКАЗЧИКОМ» персональные данные в течении срока действия настоящего Договора, а именно: обрабатывать, размещать в базах данных «ОХРАНЫ» и «ИСПОЛНИТЕЛЯ», дополнять, блокировать, уничтожать. Использование персональных данных осуществляется в целях исполнения настоящего Договора.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numPr>
          <w:ilvl w:val="0"/>
          <w:numId w:val="1"/>
        </w:numPr>
        <w:ind w:left="4111" w:hanging="360"/>
        <w:rPr>
          <w:b/>
          <w:b/>
        </w:rPr>
      </w:pPr>
      <w:r>
        <w:rPr>
          <w:b/>
        </w:rPr>
        <w:t>ОБЯЗАННОСТИ «ОХРАНЫ»</w:t>
      </w:r>
    </w:p>
    <w:p>
      <w:pPr>
        <w:pStyle w:val="Normal"/>
        <w:rPr/>
      </w:pPr>
      <w:r>
        <w:rPr/>
        <w:t>3.1. Осуществлять в установленном порядке прием «ОБЪЕКТА» под централизованное наблюдение.</w:t>
      </w:r>
    </w:p>
    <w:p>
      <w:pPr>
        <w:pStyle w:val="ListParagraph"/>
        <w:ind w:left="0" w:firstLine="567"/>
        <w:rPr/>
      </w:pPr>
      <w:r>
        <w:rPr/>
        <w:t xml:space="preserve">3.2. При поступлении тревожного извещения с «ОБЪЕКТА» о срабатывании средств тревожной сигнализации направить на него группу задержания для принятия мер по пресечению правонарушения и задержанию лиц, его совершивших. </w:t>
      </w:r>
    </w:p>
    <w:p>
      <w:pPr>
        <w:pStyle w:val="ListParagraph"/>
        <w:ind w:left="0" w:firstLine="567"/>
        <w:rPr/>
      </w:pPr>
      <w:r>
        <w:rPr/>
        <w:t>В случае не установления причины срабатывания тревожной сигнализации («ЗАКАЗЧИК» не нажимал кнопку экстренного вызова, нет отключения электроэнергии или телефонной связи и т.п.) «ОХРАНА» уведомляет об этом «ЗАКАЗЧИКА»  и «ИСПОЛНИТЕЛЯ» для необходимости незамедлительного прибытия на «ОБЪЕКТ» для выяснения и устранения причин ложного срабатывания тревожной сигнализации.</w:t>
      </w:r>
    </w:p>
    <w:p>
      <w:pPr>
        <w:pStyle w:val="ListParagraph"/>
        <w:ind w:left="0" w:firstLine="567"/>
        <w:rPr/>
      </w:pPr>
      <w:r>
        <w:rPr/>
        <w:t>3.3. Обеспечить конфиденциальность обработки персональных данных, полученных от «ЗАКАЗЧИКА» в целях исполнения настоящего Договора.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numPr>
          <w:ilvl w:val="0"/>
          <w:numId w:val="1"/>
        </w:numPr>
        <w:ind w:left="4111" w:hanging="360"/>
        <w:rPr>
          <w:b/>
          <w:b/>
        </w:rPr>
      </w:pPr>
      <w:r>
        <w:rPr>
          <w:b/>
        </w:rPr>
        <w:t>ОБЯЗАННОСТИ «ИСПОЛНИТЕЛЯ»</w:t>
      </w:r>
    </w:p>
    <w:p>
      <w:pPr>
        <w:pStyle w:val="Normal"/>
        <w:rPr/>
      </w:pPr>
      <w:r>
        <w:rPr/>
        <w:t>«ИСПОЛНИТЕЛЬ» обязан:</w:t>
      </w:r>
    </w:p>
    <w:p>
      <w:pPr>
        <w:pStyle w:val="ListParagraph"/>
        <w:ind w:left="0" w:firstLine="567"/>
        <w:rPr/>
      </w:pPr>
      <w:r>
        <w:rPr/>
        <w:t>4.1. Своевременно и качественно проводить техническое обслуживание комплекса технических средств охраны для обеспечения его правильного функционирования.</w:t>
      </w:r>
    </w:p>
    <w:p>
      <w:pPr>
        <w:pStyle w:val="ListParagraph"/>
        <w:ind w:left="0" w:firstLine="567"/>
        <w:rPr/>
      </w:pPr>
      <w:r>
        <w:rPr/>
        <w:t>4.2. Техническое обслуживание комплекса технических средств охраны предусматривает выполнение работ:</w:t>
      </w:r>
    </w:p>
    <w:p>
      <w:pPr>
        <w:pStyle w:val="Normal"/>
        <w:rPr/>
      </w:pPr>
      <w:r>
        <w:rPr/>
        <w:t xml:space="preserve">4.2.1 проведение регламентных работ в объеме Регламента № 1 </w:t>
      </w:r>
      <w:r>
        <w:rPr>
          <w:b/>
          <w:u w:val="single"/>
        </w:rPr>
        <w:t>по заявке «ЗАКАЗЧИКА»</w:t>
      </w:r>
      <w:r>
        <w:rPr/>
        <w:t>, с согласованием даты и времени проведения;</w:t>
      </w:r>
    </w:p>
    <w:p>
      <w:pPr>
        <w:pStyle w:val="Normal"/>
        <w:rPr/>
      </w:pPr>
      <w:r>
        <w:rPr/>
        <w:t>4.2.2. выявление и устранение неисправностей и недостатков в техническом состоянии «КОМПЛЕКСА», причин «ложных» его срабатываний, вызванных сбоями в работе аппаратуры, осуществление текущего ремонта;</w:t>
      </w:r>
    </w:p>
    <w:p>
      <w:pPr>
        <w:pStyle w:val="Normal"/>
        <w:rPr/>
      </w:pPr>
      <w:r>
        <w:rPr/>
        <w:t>4.2.3. восстановление работоспособности комплекса технических средств охраны в случае его отказа в работе (при невозможности включения «КОМПЛЕКСА» в режим охраны «ОБЪЕКТА», периодических «ложных» сигналов «Тревога», а также сбоев в работе программного обеспечения приборов приёмно-контрольных (далее – ППК), путём замены вышедших из рабочего состояния устройств на исправные из обменного фонда «ИСПОЛНИТЕЛЯ»;</w:t>
      </w:r>
    </w:p>
    <w:p>
      <w:pPr>
        <w:pStyle w:val="Normal"/>
        <w:rPr/>
      </w:pPr>
      <w:r>
        <w:rPr/>
        <w:t>Замененные вышедшие из рабочего состояния компоненты «КОМПЛЕКСА» на рабочие из обменного фонда «ИСПОЛНИТЕЛЯ», остаются в собственности «ЗАКАЗЧИКА», но стоимость оборудования и материалов, не включенные в абонентскую плату, оплачиваются «ЗАКАЗЧИКОМ» по отдельному счету в течение 10 (десяти) календарных дней.</w:t>
      </w:r>
    </w:p>
    <w:p>
      <w:pPr>
        <w:pStyle w:val="Normal"/>
        <w:rPr/>
      </w:pPr>
      <w:r>
        <w:rPr/>
        <w:t>4.2.4. принятие мер и (или) выдача рекомендаций по устранению причин образования «ложных» сигналов «Тревога»;</w:t>
      </w:r>
    </w:p>
    <w:p>
      <w:pPr>
        <w:pStyle w:val="Normal"/>
        <w:rPr/>
      </w:pPr>
      <w:r>
        <w:rPr/>
        <w:t xml:space="preserve">4.2.5. изменение программы функционирования «КОМПЛЕКСА» по письменной заявке «ЗАКАЗЧИКА» на корректировку программного обеспечения; </w:t>
      </w:r>
    </w:p>
    <w:p>
      <w:pPr>
        <w:pStyle w:val="Normal"/>
        <w:rPr/>
      </w:pPr>
      <w:r>
        <w:rPr/>
        <w:t xml:space="preserve">4.2.6. оказание консультативных услуг «ЗАКАЗЧИКУ» по вопросам эксплуатации «КОМПЛЕКСА»; </w:t>
      </w:r>
    </w:p>
    <w:p>
      <w:pPr>
        <w:pStyle w:val="Normal"/>
        <w:rPr/>
      </w:pPr>
      <w:r>
        <w:rPr/>
        <w:t>4.2.7. круглосуточный прием по телефону сообщений от «ЗАКАЗЧИКУ», либо от его доверенных лиц о неисправностях оборудования, установленного на объекте.</w:t>
      </w:r>
    </w:p>
    <w:p>
      <w:pPr>
        <w:pStyle w:val="Normal"/>
        <w:rPr/>
      </w:pPr>
      <w:r>
        <w:rPr/>
        <w:t>4.3. Техническое обслуживание комплекса ТС, установленного на квартирах и МПХИГ проводится в объеме Регламента № 1 при условии поступления заявок «ЗАКАЗЧИКА» с согласованием даты и времени проведения.</w:t>
      </w:r>
    </w:p>
    <w:p>
      <w:pPr>
        <w:pStyle w:val="Normal"/>
        <w:rPr/>
      </w:pPr>
      <w:r>
        <w:rPr/>
        <w:t>4.3.1. регламент № 1 предусматривает:</w:t>
      </w:r>
    </w:p>
    <w:p>
      <w:pPr>
        <w:pStyle w:val="ListParagraph"/>
        <w:ind w:left="0" w:firstLine="567"/>
        <w:rPr/>
      </w:pPr>
      <w:r>
        <w:rPr/>
        <w:t>- выполнение полной проверки состояния всех элементов комплекса ТС (шлейфов сигнализации, извещателей, ППК, устройств объектовых СПИ, приборов-сигнализаторов) с применением контрольно-измерительной аппаратуры;</w:t>
      </w:r>
    </w:p>
    <w:p>
      <w:pPr>
        <w:pStyle w:val="ListParagraph"/>
        <w:ind w:left="0" w:firstLine="567"/>
        <w:rPr/>
      </w:pPr>
      <w:r>
        <w:rPr/>
        <w:t>- проверку работоспособности комплекса ТС совместно с СПИ с обязательной записью в журнале электромонтера;</w:t>
      </w:r>
    </w:p>
    <w:p>
      <w:pPr>
        <w:pStyle w:val="ListParagraph"/>
        <w:ind w:left="0" w:firstLine="567"/>
        <w:rPr/>
      </w:pPr>
      <w:r>
        <w:rPr/>
        <w:t>- измерение электрических параметров комплекса ТС с обязательной регистрацией в журнале электромонтера.</w:t>
      </w:r>
    </w:p>
    <w:p>
      <w:pPr>
        <w:pStyle w:val="Normal"/>
        <w:rPr/>
      </w:pPr>
      <w:r>
        <w:rPr/>
        <w:t>4.3.2. Неплановое Техническое обслуживание проводится в случаях:</w:t>
      </w:r>
    </w:p>
    <w:p>
      <w:pPr>
        <w:pStyle w:val="ListParagraph"/>
        <w:ind w:left="0" w:firstLine="567"/>
        <w:rPr/>
      </w:pPr>
      <w:r>
        <w:rPr/>
        <w:t>- поступления с «ОБЪЕКТА» двух и более ложных срабатываний в течение 30 (тридцати) календарных дней;</w:t>
      </w:r>
    </w:p>
    <w:p>
      <w:pPr>
        <w:pStyle w:val="ListParagraph"/>
        <w:ind w:left="567" w:hanging="0"/>
        <w:rPr/>
      </w:pPr>
      <w:r>
        <w:rPr/>
        <w:t>- ликвидации последствий воздействия на ТС неблагоприятных климатических или производственных условий;</w:t>
      </w:r>
    </w:p>
    <w:p>
      <w:pPr>
        <w:pStyle w:val="ListParagraph"/>
        <w:ind w:left="567" w:hanging="0"/>
        <w:rPr/>
      </w:pPr>
      <w:r>
        <w:rPr/>
        <w:t>- поступления заявки «ЗАКАЗЧИКА» или не взятия «ОБЪЕКТА» под охрану.</w:t>
      </w:r>
    </w:p>
    <w:p>
      <w:pPr>
        <w:pStyle w:val="ListParagraph"/>
        <w:ind w:left="0" w:firstLine="567"/>
        <w:rPr/>
      </w:pPr>
      <w:r>
        <w:rPr/>
        <w:t>Объем работ при неплановом техническом обслуживании определяется индивидуально.</w:t>
      </w:r>
    </w:p>
    <w:p>
      <w:pPr>
        <w:pStyle w:val="ListParagraph"/>
        <w:ind w:left="0" w:firstLine="567"/>
        <w:rPr/>
      </w:pPr>
      <w:r>
        <w:rPr/>
        <w:t>4.4. Абонентская плата за техническое обслуживание по настоящему Договору включает в себя стоимость:</w:t>
      </w:r>
    </w:p>
    <w:p>
      <w:pPr>
        <w:pStyle w:val="ListParagraph"/>
        <w:ind w:left="0" w:firstLine="567"/>
        <w:rPr/>
      </w:pPr>
      <w:r>
        <w:rPr/>
        <w:t>4.4.1. вызова «ЗАКАЗЧИКОМ» электромонтера для выполнения ремонта «КОМПЛЕКСА»;</w:t>
      </w:r>
    </w:p>
    <w:p>
      <w:pPr>
        <w:pStyle w:val="ListParagraph"/>
        <w:ind w:left="0" w:firstLine="567"/>
        <w:rPr>
          <w:b/>
          <w:b/>
        </w:rPr>
      </w:pPr>
      <w:r>
        <w:rPr/>
        <w:t>4.4.2. расходных материалов (изоляционная лента, шурупы, клей, припой, канифоль и т.п.), использованных в процессе ремонта;</w:t>
      </w:r>
    </w:p>
    <w:p>
      <w:pPr>
        <w:pStyle w:val="ListParagraph"/>
        <w:ind w:left="0" w:firstLine="567"/>
        <w:rPr/>
      </w:pPr>
      <w:r>
        <w:rPr/>
        <w:t>4.4.3. мероприятий, проводимых в соответствии с Регламентом № 1;</w:t>
      </w:r>
    </w:p>
    <w:p>
      <w:pPr>
        <w:pStyle w:val="ListParagraph"/>
        <w:ind w:left="0" w:firstLine="567"/>
        <w:rPr/>
      </w:pPr>
      <w:r>
        <w:rPr/>
        <w:t>4.4.4. работ по устранению причин подачи «ложных» сигналов «Тревога»;</w:t>
      </w:r>
    </w:p>
    <w:p>
      <w:pPr>
        <w:pStyle w:val="ListParagraph"/>
        <w:ind w:left="0" w:firstLine="567"/>
        <w:rPr/>
      </w:pPr>
      <w:r>
        <w:rPr/>
        <w:t>4.4.5. оказание консультативных услуг по вопросам эксплуатации «КОМЛПЕКСА».</w:t>
      </w:r>
    </w:p>
    <w:p>
      <w:pPr>
        <w:pStyle w:val="ListParagraph"/>
        <w:ind w:left="0" w:firstLine="567"/>
        <w:rPr/>
      </w:pPr>
      <w:r>
        <w:rPr>
          <w:u w:val="single"/>
        </w:rPr>
        <w:t>Примечание:</w:t>
      </w:r>
      <w:r>
        <w:rPr/>
        <w:t xml:space="preserve"> Ложный сигнал «Тревога» - это сформированное средствами тревожной сигнализации извещение о нарушении на «ОБЪЕКТЕ», вызванное сбоями (отказами) аппаратуры или другими событиями (изменение параметров телефонной линии, перебои в подаче электроэнергии и т.п.), не связанными с попыткам проникновения в охраняемое пространство.</w:t>
      </w:r>
    </w:p>
    <w:p>
      <w:pPr>
        <w:pStyle w:val="ListParagraph"/>
        <w:ind w:left="0" w:firstLine="567"/>
        <w:rPr/>
      </w:pPr>
      <w:r>
        <w:rPr/>
        <w:t>4.5. В абонентскую плату не включены, и оплачиваются отдельно:</w:t>
      </w:r>
    </w:p>
    <w:p>
      <w:pPr>
        <w:pStyle w:val="ListParagraph"/>
        <w:ind w:left="0" w:firstLine="567"/>
        <w:rPr/>
      </w:pPr>
      <w:r>
        <w:rPr/>
        <w:t>4.5.1. капитальный ремонт «КОМПЛЕКСА» по истечении срока его службы либо невозможности дальнейшей эксплуатации из-за физического износа или необратимого изменения технических параметров вследствие воздействия производственных, климатических и других факторов;</w:t>
      </w:r>
    </w:p>
    <w:p>
      <w:pPr>
        <w:pStyle w:val="ListParagraph"/>
        <w:ind w:left="0" w:firstLine="567"/>
        <w:rPr/>
      </w:pPr>
      <w:r>
        <w:rPr/>
        <w:t>4.5.2. устранение дефектов и неисправностей, появившихся в следствие:</w:t>
      </w:r>
    </w:p>
    <w:p>
      <w:pPr>
        <w:pStyle w:val="ListParagraph"/>
        <w:ind w:left="0" w:firstLine="567"/>
        <w:rPr/>
      </w:pPr>
      <w:r>
        <w:rPr/>
        <w:t>- внесения изменений в состав «КОМПЛЕКСА» или его ремонта, проведённых лицами, не являющимися представителями «ИСПОЛНИТЕЛЯ»;</w:t>
      </w:r>
    </w:p>
    <w:p>
      <w:pPr>
        <w:pStyle w:val="Normal"/>
        <w:ind w:left="567" w:hanging="0"/>
        <w:rPr/>
      </w:pPr>
      <w:r>
        <w:rPr/>
        <w:t>- аварий на «ОБЪЕКТЕ» или небрежных действий «ЗАКАЗЧИКА», повлекших нарушение работы «КОМПЛЕКСА»;</w:t>
      </w:r>
    </w:p>
    <w:p>
      <w:pPr>
        <w:pStyle w:val="ListParagraph"/>
        <w:ind w:left="567" w:hanging="0"/>
        <w:rPr/>
      </w:pPr>
      <w:r>
        <w:rPr/>
        <w:t>- нарушений условий эксплуатации «КОМПЛЕКСА».</w:t>
      </w:r>
    </w:p>
    <w:p>
      <w:pPr>
        <w:pStyle w:val="Normal"/>
        <w:rPr/>
      </w:pPr>
      <w:r>
        <w:rPr/>
        <w:t>4.5.3. устранение неисправностей сетей электропитания, систем телефонной (проводной или сотовой), радиоканальной связи, к которым подключено оборудование «КОМПЛЕКСА», кроме неисправностей объектового оборудования и радиоканальной связи (приёмопередающего оборудования и антенно-фидерных устройств).</w:t>
      </w:r>
    </w:p>
    <w:p>
      <w:pPr>
        <w:pStyle w:val="Normal"/>
        <w:rPr/>
      </w:pPr>
      <w:r>
        <w:rPr/>
        <w:t>4.6. В абонентскую плату за техническое обслуживание по настоящему Договору не входит стоимость:</w:t>
      </w:r>
    </w:p>
    <w:p>
      <w:pPr>
        <w:pStyle w:val="Normal"/>
        <w:rPr/>
      </w:pPr>
      <w:r>
        <w:rPr/>
        <w:t>4.6.1. сменных батарей и аккумуляторов;</w:t>
      </w:r>
    </w:p>
    <w:p>
      <w:pPr>
        <w:pStyle w:val="Normal"/>
        <w:rPr/>
      </w:pPr>
      <w:r>
        <w:rPr/>
        <w:t>4.6.2. замененного оборудования и материалов.</w:t>
      </w:r>
    </w:p>
    <w:p>
      <w:pPr>
        <w:pStyle w:val="Normal"/>
        <w:rPr/>
      </w:pPr>
      <w:r>
        <w:rPr/>
        <w:t>4.7. Стоимость работ, оборудования и материалов, не включенная в абонентскую плату, оплачивается «ЗАКАЗЧИКОМ» по отдельному счёту, в течение 10 (десяти) календарных дней.</w:t>
      </w:r>
    </w:p>
    <w:p>
      <w:pPr>
        <w:pStyle w:val="Normal"/>
        <w:rPr/>
      </w:pPr>
      <w:r>
        <w:rPr/>
        <w:t>4.8. Восстанавливать работоспособность используемого оборудования в случае его отказа в возможно короткий срок, но не более 24 часов.</w:t>
      </w:r>
    </w:p>
    <w:p>
      <w:pPr>
        <w:pStyle w:val="Normal"/>
        <w:rPr/>
      </w:pPr>
      <w:r>
        <w:rPr/>
        <w:t xml:space="preserve">4.9. Заявки на устранение неисправностей «КОМПЛЕКСА» принимаются диспетчером «ИСПОЛНИТЕЛЯ» по телефонам: </w:t>
      </w:r>
      <w:r>
        <w:rPr>
          <w:b/>
        </w:rPr>
        <w:t>(4862) 43-69-66, 20-11-24</w:t>
      </w:r>
      <w:r>
        <w:rPr/>
        <w:t xml:space="preserve"> и по адресу местонахождения филиала.</w:t>
      </w:r>
    </w:p>
    <w:p>
      <w:pPr>
        <w:pStyle w:val="Normal"/>
        <w:rPr/>
      </w:pPr>
      <w:r>
        <w:rPr/>
        <w:t xml:space="preserve">4.10. Обслуживание тревожной сигнализации осуществляется «ИСПОЛНИТЕЛЕМ» с предварительным уведомление об этом «ОХРАНЫ» по телефонам: </w:t>
      </w:r>
      <w:r>
        <w:rPr>
          <w:b/>
        </w:rPr>
        <w:t>(4862) 43-25-16; 43-35-62; 43-22-41; 43-24-32</w:t>
      </w:r>
      <w:r>
        <w:rPr/>
        <w:t>.</w:t>
      </w:r>
    </w:p>
    <w:p>
      <w:pPr>
        <w:pStyle w:val="Normal"/>
        <w:rPr/>
      </w:pPr>
      <w:r>
        <w:rPr/>
        <w:t>4.11. Производить по согласованию с «ЗАКАЗЧИКОМ» дооборудование «ОБЪЕКТА» дополнительными кнопками тревожной сигнализации после оплаты этих работ по отдельному договору.</w:t>
      </w:r>
    </w:p>
    <w:p>
      <w:pPr>
        <w:pStyle w:val="Normal"/>
        <w:rPr/>
      </w:pPr>
      <w:r>
        <w:rPr/>
        <w:t>4.12. Обеспечить конфиденциальность обработки персональных данных, полученных от «ЗАКАЗЧИКА»  в целях исполнения настоящего Договора.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ind w:left="4111" w:hanging="360"/>
        <w:rPr>
          <w:b/>
          <w:b/>
        </w:rPr>
      </w:pPr>
      <w:r>
        <w:rPr>
          <w:b/>
        </w:rPr>
        <w:t>ОБЯЗАННОСТИ «ЗАКАЗЧИКА»</w:t>
      </w:r>
    </w:p>
    <w:p>
      <w:pPr>
        <w:pStyle w:val="ListParagraph"/>
        <w:ind w:left="0" w:firstLine="567"/>
        <w:rPr/>
      </w:pPr>
      <w:r>
        <w:rPr/>
        <w:t>5.1. Для оформления договора «ЗАКАЗЧИК» предоставляет «ОХРАНЕ» и «ИСПОЛНИТЕЛЮ» копии правоустанавливающих документов на «ОБЪЕКТ», согласие всех лиц, зарегистрированных на «ОБЪЕКТЕ», документы, удостоверяющие личность «ЗАКАЗЧИКА» и место его регистрации, доверенность собственника имущества с предоставлением права заключения Договора (при заключении Договора доверенным лицом), а также платежные реквизиты, иную необходимую техническую документацию и информацию на «КОМПЛЕКС», установленный на «ОБЪЕКТЕ». В течение срока действия договора «ЗАКАЗЧИКА» ответственен за объективность и своевременное предоставление сведений о произошедших изменениях, правоустанавливающих документах на «ОБЪЕКТ», в документах удостоверяющих личность и обязан в письменной форме сообщать о них «ИСПОЛНИТЕЛЮ» и «ОХРАНЕ» в трехдневный срок.</w:t>
      </w:r>
    </w:p>
    <w:p>
      <w:pPr>
        <w:pStyle w:val="ListParagraph"/>
        <w:ind w:left="0" w:firstLine="567"/>
        <w:rPr/>
      </w:pPr>
      <w:r>
        <w:rPr/>
        <w:t>Если «ЗАКАЗЧИК» не сообщает о произошедших изменениях все уведомления, направленные «ИСПОЛНИТЕЛЕМ» и «ОХРАНОЙ» по последнему известному контакту, считаются полученными «ЗАКАЗЧИКОМ», а «ЗАКАЗЧИК» - уведомленным надлежащим образом.</w:t>
      </w:r>
    </w:p>
    <w:p>
      <w:pPr>
        <w:pStyle w:val="ListParagraph"/>
        <w:ind w:left="0" w:firstLine="567"/>
        <w:rPr/>
      </w:pPr>
      <w:r>
        <w:rPr/>
        <w:t>5.2. Не допускать посторонних лиц к средствам тревожной сигнализации для устранения неисправностей, внесений изменений в схему блокировки «ОБЪЕКТА», не производить указанные работы своими силами.</w:t>
      </w:r>
    </w:p>
    <w:p>
      <w:pPr>
        <w:pStyle w:val="ListParagraph"/>
        <w:ind w:left="0" w:firstLine="567"/>
        <w:rPr/>
      </w:pPr>
      <w:r>
        <w:rPr/>
        <w:t>5.3. Соблюдать правила эксплуатации тревожной сигнализации, не допускать деблокировки средств сигнализации, установленных на «ОБЪЕКТЕ»; своевременно сообщать «ОХРАНЕ» и «ИСПОЛНИТЕЛЮ» о возникших неисправностях, обеспечить возможность доступа на «ОБЪЕКТ» работников «ИСПОЛНИТЕЛЯ» для проведения работ по техническому обслуживанию ТС.</w:t>
      </w:r>
    </w:p>
    <w:p>
      <w:pPr>
        <w:pStyle w:val="Normal"/>
        <w:rPr/>
      </w:pPr>
      <w:r>
        <w:rPr/>
        <w:t>5.4. Не разглашать посторонним лицам правила пользования тревожной средствами сигнализации и присвоенный пультовый номер «ОБЪЕКТА».</w:t>
      </w:r>
    </w:p>
    <w:p>
      <w:pPr>
        <w:pStyle w:val="ListParagraph"/>
        <w:ind w:left="0" w:firstLine="567"/>
        <w:rPr/>
      </w:pPr>
      <w:r>
        <w:rPr/>
        <w:t>5.5. Обеспечить «ОХРАНЕ» возможность доступа во все помещения «ОБЪЕКТА» для выяснения причин срабатывания сигнализации.</w:t>
      </w:r>
    </w:p>
    <w:p>
      <w:pPr>
        <w:pStyle w:val="ListParagraph"/>
        <w:ind w:left="0" w:firstLine="567"/>
        <w:rPr/>
      </w:pPr>
      <w:r>
        <w:rPr/>
        <w:t xml:space="preserve">5.6. Производить не реже одного раза в неделю проверку работоспособности тревожной сигнализации путем пробной подачи сигнала «тревога», с предварительным уведомлением об этом «ОХРАНЫ» по телефонам: </w:t>
      </w:r>
      <w:r>
        <w:rPr>
          <w:b/>
        </w:rPr>
        <w:t>43-25-16;</w:t>
      </w:r>
      <w:r>
        <w:rPr/>
        <w:t xml:space="preserve"> </w:t>
      </w:r>
      <w:r>
        <w:rPr>
          <w:b/>
        </w:rPr>
        <w:t>43-35-62; 43-22-41; 43-24-32.</w:t>
      </w:r>
    </w:p>
    <w:p>
      <w:pPr>
        <w:pStyle w:val="ListParagraph"/>
        <w:ind w:left="0" w:firstLine="567"/>
        <w:rPr/>
      </w:pPr>
      <w:r>
        <w:rPr/>
        <w:t>5.7. Информировать в течение 3 (трех) рабочих дней в письменной форме «ОХРАНУ» и «ИСПОЛНИТЕЛЯ» о возникновении спора о праве собственности и управления имуществом, находящемся во владении «ЗАКАЗЧИКА» и являющимся объектом охраны. В этом случае договор подлежит немедленному приостановлению (или расторжению).</w:t>
      </w:r>
    </w:p>
    <w:p>
      <w:pPr>
        <w:pStyle w:val="ListParagraph"/>
        <w:ind w:left="0" w:firstLine="567"/>
        <w:rPr/>
      </w:pPr>
      <w:r>
        <w:rPr/>
        <w:t>5.8. Сообщать «ОХРАНЕ» и «ИСПОЛНИТЕЛЮ» не менее чем за 10 (десять) дней о проведении ремонта помещений, переоборудовании на «ОБЪЕКТЕ» и других мероприятиях, вследствие которого возможна деблокировка средств сигнализации «ОБЪЕКТА».</w:t>
      </w:r>
    </w:p>
    <w:p>
      <w:pPr>
        <w:pStyle w:val="ListParagraph"/>
        <w:ind w:left="0" w:firstLine="567"/>
        <w:rPr/>
      </w:pPr>
      <w:r>
        <w:rPr/>
        <w:t>В этом случае договор приостанавливается на время проведения ремонта и возобновляется после письменного уведомления «ЗАКАЗЧИКОМ» «СТОРОН» об окончании ремонта.</w:t>
      </w:r>
    </w:p>
    <w:p>
      <w:pPr>
        <w:pStyle w:val="ListParagraph"/>
        <w:ind w:left="0" w:firstLine="567"/>
        <w:rPr/>
      </w:pPr>
      <w:r>
        <w:rPr/>
        <w:t>5.9. Оплатить «ИСПОЛНИТЕЛЮ» расходы, связанные:</w:t>
      </w:r>
    </w:p>
    <w:p>
      <w:pPr>
        <w:pStyle w:val="Normal"/>
        <w:rPr/>
      </w:pPr>
      <w:r>
        <w:rPr/>
        <w:t>5.9.1. с ремонтом технических средств, вышедших из строя по вине «ЗАКАЗЧИКА»;</w:t>
      </w:r>
    </w:p>
    <w:p>
      <w:pPr>
        <w:pStyle w:val="Normal"/>
        <w:rPr/>
      </w:pPr>
      <w:r>
        <w:rPr/>
        <w:t>5.9.2. с переводом на систему тревожной сигнализации, устанавливаемую взамен существующей в связи с истечением срока ее эксплуатации.</w:t>
      </w:r>
    </w:p>
    <w:p>
      <w:pPr>
        <w:pStyle w:val="Normal"/>
        <w:rPr/>
      </w:pPr>
      <w:r>
        <w:rPr/>
        <w:t>5.10. при расторжении или приостановлении настоящего Договора в 10-дневный срок возвратить «ОХРАНЕ» принадлежащую ей аппаратуру, установленную на «ОБЪЕКТЕ», или оплатить ее стоимость с учетом коэффициента принятого в «ОХРАНЕ» на данный вид аппаратуры.</w:t>
      </w:r>
    </w:p>
    <w:p>
      <w:pPr>
        <w:pStyle w:val="Normal"/>
        <w:rPr/>
      </w:pPr>
      <w:r>
        <w:rPr/>
        <w:t>5.11. Оплатить «ОХРАНЕ» стоимость принадлежащей ей сигнализации, утраченной или выведенной из строя «ЗАКАЗЧИКОМ».</w:t>
      </w:r>
    </w:p>
    <w:p>
      <w:pPr>
        <w:pStyle w:val="Normal"/>
        <w:rPr/>
      </w:pPr>
      <w:r>
        <w:rPr/>
        <w:t>5.12. Принять меры к своевременному ремонту телефонной линии, сети интернет и сети электропитания, к которым подключены средства тревожной сигнализации.</w:t>
      </w:r>
    </w:p>
    <w:p>
      <w:pPr>
        <w:pStyle w:val="Normal"/>
        <w:rPr/>
      </w:pPr>
      <w:r>
        <w:rPr/>
        <w:t>5.13. Для проведения технического обслуживания средств сигнализации находиться на «ОБЪЕКТЕ» в согласованное с «ИСПОЛНИТЕЛЕМ» время, а также во время, указанное в письменном уведомлении «ИСПОЛНИТЕЛЯ».</w:t>
      </w:r>
    </w:p>
    <w:p>
      <w:pPr>
        <w:pStyle w:val="Normal"/>
        <w:rPr/>
      </w:pPr>
      <w:r>
        <w:rPr/>
        <w:t>5.14. Своевременно и в полном объеме производить расчеты с «ОХРАНОЙ» и «ИСПОЛНИТЕЛЕМ» в соответствии с условиями настоящего Договора.</w:t>
      </w:r>
    </w:p>
    <w:p>
      <w:pPr>
        <w:pStyle w:val="Normal"/>
        <w:rPr/>
      </w:pPr>
      <w:r>
        <w:rPr/>
        <w:t>5.15. Оплата услуг, предоставляемых «ОХРАНОЙ» производится независимо от фактического времени нахождения «ОБЪЕКТА» под наблюдением (контролем).</w:t>
      </w:r>
    </w:p>
    <w:p>
      <w:pPr>
        <w:pStyle w:val="Normal"/>
        <w:rPr/>
      </w:pPr>
      <w:r>
        <w:rPr/>
        <w:t>Основанием для прекращения начисления платы за оказываемые услуги является письменное уведомление о приостановлении действия настоящего Договора или его расторжении одной из «СТОРОН» в порядке, предусмотренном Договором, при этом заинтересованная «СТОРОНА» предупреждает о приостановлении (расторжении) Договора другую «СТОРОНУ» не менее, чем за 15 (пятнадцать) календарных дней до даты наступления какого-либо из указанных событий.</w:t>
      </w:r>
    </w:p>
    <w:p>
      <w:pPr>
        <w:pStyle w:val="Normal"/>
        <w:rPr/>
      </w:pPr>
      <w:r>
        <w:rPr/>
        <w:t>5.16. Услуги считаются оказанными в полном объеме, если «ЗАКАЗЧИК» письменно не уведомил «ОХРАНУ» в соответствии с п. 5.15. настоящего Договора.</w:t>
      </w:r>
    </w:p>
    <w:p>
      <w:pPr>
        <w:pStyle w:val="Normal"/>
        <w:rPr/>
      </w:pPr>
      <w:r>
        <w:rPr/>
        <w:t>5.17. В случае приостановления действия настоящего Договора по инициативе «ЗАКАЗЧИКА» при условии осуществления контроля за объектом посредством ПЦО через городскую телефонную сеть или канал сотовой связи, «ЗАКАЗЧИКОМ» компенсируются ежемесячные затраты, связанные с вторичным использованием телефонных линий связи, либо затраты оператору сотовой связи, связанные с ежемесячной абонентской платой. Размер компенсации определяется тарифами, установленными операторами телефонной или сотовой связи и действующими в период приостановки действия Договора.</w:t>
      </w:r>
    </w:p>
    <w:p>
      <w:pPr>
        <w:pStyle w:val="Normal"/>
        <w:rPr/>
      </w:pPr>
      <w:r>
        <w:rPr/>
        <w:t>5.18. Письменно уведомлять «ОХРАНУ» и «ИСПОЛНИТЕЛЯ» о нарушении ее сотрудниками (работниками) обязательств по настоящему Договору в течение 5 (пяти) календарных дней. При отсутствии такого уведомления «ОХРАНА» и «ИСПОЛНИТЕЛЬ» считают выполнившими свои обязанности по настоящему Договору надлежащим образом и в полном объеме.</w:t>
      </w:r>
    </w:p>
    <w:p>
      <w:pPr>
        <w:pStyle w:val="Normal"/>
        <w:rPr/>
      </w:pPr>
      <w:r>
        <w:rPr/>
        <w:t>5.19. В целях надлежащего исполнения «СТОРОНАМИ» обязательств по настоящему Договору «ЗАКАЗЧИК» дает свое согласие на обработку персональных данных «ОХРАНОЙ» и «ИСПОЛНИТЕЛЕМ», а именно на совершение действий, предусмотренных пунктом 3 статьи 3 Федерального закона от 27.07.2006 г. № 152-ФЗ «О персональных данных» (Приложение № 3). Настоящее согласие дается на период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ind w:left="4111" w:hanging="360"/>
        <w:rPr>
          <w:b/>
          <w:b/>
        </w:rPr>
      </w:pPr>
      <w:r>
        <w:rPr>
          <w:b/>
        </w:rPr>
        <w:t>ОТВЕТСТВЕННОСТЬ «СТОРОН»</w:t>
      </w:r>
    </w:p>
    <w:p>
      <w:pPr>
        <w:pStyle w:val="ListParagraph"/>
        <w:ind w:left="0" w:firstLine="567"/>
        <w:rPr/>
      </w:pPr>
      <w:r>
        <w:rPr/>
        <w:t>6.1. «СТОРОНЫ» несут ответственность за неисполнение или ненадлежащее исполнение обязательств по настоящему Договору в соответствии с действующим законодательством Российской Федерации, при этом «ОХРАНЫ» не несет материальной ответственности за ущерб, причиненный «ЗАКАЗЧИКУ» правонарушителями, а также за ущерб, причиненный сотрудниками «ОХРАНЫ» при их задержании или преследовании.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1080" w:firstLine="567"/>
        <w:jc w:val="center"/>
        <w:rPr>
          <w:b/>
          <w:b/>
        </w:rPr>
      </w:pPr>
      <w:r>
        <w:rPr>
          <w:b/>
        </w:rPr>
        <w:t>7. ФОРС-МАЖОРНЫЕ ОБСТОЯТЕЛЬСТВА</w:t>
      </w:r>
    </w:p>
    <w:p>
      <w:pPr>
        <w:pStyle w:val="ListParagraph"/>
        <w:ind w:left="0" w:firstLine="567"/>
        <w:rPr/>
      </w:pPr>
      <w:r>
        <w:rPr/>
        <w:t>7.1. Наличие форс-мажорных обстоятельств у одной из «СТОРОН» (обстоятельств непреодолимой силы, непредвиденных, неконтролируемых, непредсказуемых, делающих исполнение условий настоящего Договора невозможными, а именно: природных (стихийных) явлений, некоторых обстоятельств общественной жизни (военные действия), в которых непосредственно либо косвенно участвует сторона по настоящему Договору, изменений в текущем законодательстве или других независящих от сторон обстоятельств), возникших после заключения «СТОРОНАМИ» настоящего Договора, либо вытекающих из существа Договора, равно как и в ходе выполнения «СТОРОНАМИ» принятых на себя обязательств, которые ни одна из «СТОРОН» не могла предвидеть или предотвратить доступными и посильными средствами, освобождает эту «СТОРОНУ» от ответственности за невыполнение или ненадлежащее выполнение взятых обязательств по настоящему Договору. Срок исполнения «СТОРОНАМИ» обязательств по настоящему Договору отодвигается на срок действия таких обстоятельств.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numPr>
          <w:ilvl w:val="0"/>
          <w:numId w:val="2"/>
        </w:numPr>
        <w:jc w:val="center"/>
        <w:rPr>
          <w:b/>
          <w:b/>
        </w:rPr>
      </w:pPr>
      <w:r>
        <w:rPr>
          <w:b/>
        </w:rPr>
        <w:t>УСЛОВИЯ И ПОРЯДОК РАСЧЕТОВ</w:t>
      </w:r>
    </w:p>
    <w:p>
      <w:pPr>
        <w:pStyle w:val="ListParagraph"/>
        <w:ind w:left="0" w:firstLine="567"/>
        <w:rPr>
          <w:color w:val="000000"/>
        </w:rPr>
      </w:pPr>
      <w:r>
        <w:rPr>
          <w:color w:val="000000"/>
        </w:rPr>
        <w:t xml:space="preserve">8.1. Ежемесячная плата за услуги «ОХРАНЫ» составляет: </w:t>
      </w:r>
      <w:r>
        <w:rPr>
          <w:b/>
          <w:color w:val="000000"/>
          <w:u w:val="single"/>
        </w:rPr>
        <w:t>_____________________________________________</w:t>
      </w:r>
    </w:p>
    <w:p>
      <w:pPr>
        <w:pStyle w:val="ListParagraph"/>
        <w:ind w:left="0" w:firstLine="567"/>
        <w:rPr/>
      </w:pPr>
      <w:r>
        <w:rPr>
          <w:color w:val="000000"/>
        </w:rPr>
        <w:t>8.2. Оплата услуг, предоставляемых «ИСПОЛНИТЕЛЕМ»,</w:t>
      </w:r>
      <w:r>
        <w:rPr/>
        <w:t xml:space="preserve"> производится «ЗАКАЗЧИКОМ» в размере, указанном в Приложении № 1 к настоящему Договору (Перечень квартир/МПХИГ и стоимость предоставляемых услуг).</w:t>
      </w:r>
    </w:p>
    <w:p>
      <w:pPr>
        <w:pStyle w:val="ListParagraph"/>
        <w:ind w:left="0" w:firstLine="567"/>
        <w:rPr/>
      </w:pPr>
      <w:r>
        <w:rPr/>
        <w:t>8.3. Оплата услуг, предоставляемых «ОХРАНОЙ», производится «ЗАКАЗЧИКОМ» через Банк на расчетный счет с действующими тарифами не позднее 15-го числа текущего месяца.</w:t>
      </w:r>
    </w:p>
    <w:p>
      <w:pPr>
        <w:pStyle w:val="Normal"/>
        <w:rPr/>
      </w:pPr>
      <w:r>
        <w:rPr/>
        <w:t>Плата за первый месяц производится «ЗАКАЗЧИКОМ» после подписания Договора в полном объеме месячной платы, если Договор подписан до 15-го числа и 50% от суммы этой оплаты, если Договор подписан после 15- го числа текущего месяца.</w:t>
      </w:r>
    </w:p>
    <w:p>
      <w:pPr>
        <w:pStyle w:val="Normal"/>
        <w:rPr/>
      </w:pPr>
      <w:r>
        <w:rPr/>
        <w:t>Тарифы устанавливаются «ОХРАНОЙ» с учетом фактических расходов по оказанию этого вида услуг и могут пересматриваться «ОХРАНОЙ» при изменении цен на аппаратуру сигнализации, автотранспорт, услуги связи, условий оплаты труда сотрудников «ОХРАНЫ» и т.п. с обязательным уведомлением «ЗАКАЗЧИКА» письменно или по телефону. В этом случае Договор подлежит перезаключению по новым тарифам в течение 10 (десяти) календарных дней со дня письменного уведомления «ЗАКАЗЧИКА» «ОХРАНОЙ» об увеличении тарифов или расторжению.</w:t>
      </w:r>
    </w:p>
    <w:p>
      <w:pPr>
        <w:pStyle w:val="ListParagraph"/>
        <w:ind w:left="0" w:firstLine="567"/>
        <w:rPr/>
      </w:pPr>
      <w:r>
        <w:rPr/>
        <w:t>8.4. Оплата услуг, предоставляемых «ИСПОЛНИТЕЛЕМ», производится «ЗАКАЗЧИКОМ» ежемесячно, независимо от фактического времени нахождения «ОБЪЕКТА» под контролем через Банк, другую организацию, уполномоченную на прием платежей от населения на расчетный счет «ИСПОЛНИТЕЛЯ», в соответствии с действующими тарифами не позднее 25-го числа текущего месяца по выставленной «ИСПОЛНИТЕЛЕМ» квитанции.</w:t>
      </w:r>
    </w:p>
    <w:p>
      <w:pPr>
        <w:pStyle w:val="ListParagraph"/>
        <w:ind w:left="0" w:firstLine="567"/>
        <w:rPr/>
      </w:pPr>
      <w:r>
        <w:rPr/>
        <w:t>При оплате через Банк, комиссия за прием платежей от физических лиц, взимается с «ИСПОЛНИТЕЛЯ».</w:t>
      </w:r>
    </w:p>
    <w:p>
      <w:pPr>
        <w:pStyle w:val="ListParagraph"/>
        <w:ind w:left="0" w:firstLine="567"/>
        <w:rPr/>
      </w:pPr>
      <w:r>
        <w:rPr/>
        <w:t>Плата за первый месяц производится «ЗАКАЗЧИКОМ» после подписания Договора в полном объеме месячной платы, если Договор подписан до 15-го числа и 50% от суммы этой оплаты, если Договор подписан после 15-го числа текущего месяца.</w:t>
      </w:r>
    </w:p>
    <w:p>
      <w:pPr>
        <w:pStyle w:val="ListParagraph"/>
        <w:ind w:left="0" w:firstLine="567"/>
        <w:rPr/>
      </w:pPr>
      <w:r>
        <w:rPr/>
        <w:t>Тарифы устанавливаются «ИСПОЛНИТЕЛЕМ» с учетом фактических расходов по оказанию этого вида услуг и могут пересматриваться «ИСПОЛНИТЕЛЕМ» при изменении цен на аппаратуру тревожной сигнализации, автотранспорт, услуги связи, условий оплаты труда работников «ИСПОЛНИТЕЛЯ», изменении налоговой системы, инфляцией и т.п.</w:t>
      </w:r>
    </w:p>
    <w:p>
      <w:pPr>
        <w:pStyle w:val="ListParagraph"/>
        <w:ind w:left="0" w:firstLine="567"/>
        <w:rPr/>
      </w:pPr>
      <w:r>
        <w:rPr/>
        <w:t>Изменение оплаты по настоящему Договору производится при изменении действующих тарифов «ИСПОЛНИТЕЛЯ», с уведомлением об этом «ЗАКАЗЧИКА» путем размещения соответствующей письменной информации в выставляемой квитанции не менее чем за 15 (пятнадцать) календарных дней до вступления их в действие.</w:t>
      </w:r>
    </w:p>
    <w:p>
      <w:pPr>
        <w:pStyle w:val="ListParagraph"/>
        <w:ind w:left="0" w:firstLine="567"/>
        <w:rPr/>
      </w:pPr>
      <w:r>
        <w:rPr/>
        <w:t xml:space="preserve">Если по истечении 15 (пятнадцати) календарных дней с момента уведомления «ЗАКАЗЧИКА» об изменении тарифов, «ЗАКАЗЧИК» не выразил письменное несогласие с изменением тарифов и продолжает пользоваться услугами, предоставляемыми «ИСПОЛНИТЕЛЕМ» в соответствии с настоящим Договором, то новый тариф автоматически считается принятым «ЗАКАЗЧИКОМ». </w:t>
      </w:r>
    </w:p>
    <w:p>
      <w:pPr>
        <w:pStyle w:val="ListParagraph"/>
        <w:ind w:left="0" w:firstLine="567"/>
        <w:rPr/>
      </w:pPr>
      <w:r>
        <w:rPr/>
        <w:t>Отказ «ЗАКАЗЧИКА» от оплаты по новым тарифам дает «ИСПОЛНИТЕЛЮ» право расторгнуть Договор в одностороннем порядке с предварительным письменным уведомлением «СТОРОН» настоящего Договора за 10 (десять) календарных дней до даты расторжения Договора.</w:t>
      </w:r>
    </w:p>
    <w:p>
      <w:pPr>
        <w:pStyle w:val="ListParagraph"/>
        <w:ind w:left="0" w:firstLine="567"/>
        <w:rPr/>
      </w:pPr>
      <w:r>
        <w:rPr/>
        <w:t>В случае неполучения «СТОРОНОЙ» письма о расторжении Договора или отказа в получении указанного письма, Договор считается расторгнутым в одностороннем порядке по истечении 14 (четырнадцати) календарных дней со дня отправки письменного уведомления о расторжении Договора почтовой корреспонденцией – заказным письмом с уведомлением.</w:t>
      </w:r>
    </w:p>
    <w:p>
      <w:pPr>
        <w:pStyle w:val="Normal"/>
        <w:rPr/>
      </w:pPr>
      <w:r>
        <w:rPr/>
        <w:t>8.5. В случае не оплаты услуг «ОХРАНЫ» и (или) «ИСПОЛНИТЕЛЯ» до 5-го числа месяца, следующего за отчетным «ОХРАНА» и (или) «ИСПОЛНИТЕЛЬ» вправе временно приостановить предоставление услуг по настоящему Договору до момента полного погашения задолженности или в течение 1 (одних) суток прекратить действие настоящего Договора, с момента письменного уведомления об этом других «СТОРОН» настоящего Договора.</w:t>
      </w:r>
    </w:p>
    <w:p>
      <w:pPr>
        <w:pStyle w:val="ListParagraph"/>
        <w:ind w:left="0" w:firstLine="567"/>
        <w:rPr/>
      </w:pPr>
      <w:r>
        <w:rPr/>
        <w:t>В случае нарушения «ЗАКАЗЧИКОМ» сроков внесения ежемесячной платы по настоящему Договору, «ОХРАНА» и/или «ИСПОЛНИТЕЛЬ» вправе выставить «ЗАКАЗЧИКУ» пени в размере 0,3% от стоимости неоплаченных услуг за каждый день задержки платежа, но не более 100% суммы задолженности.</w:t>
      </w:r>
    </w:p>
    <w:p>
      <w:pPr>
        <w:pStyle w:val="Normal"/>
        <w:rPr/>
      </w:pPr>
      <w:r>
        <w:rPr/>
        <w:t>8.6. В случае если в период действия настоящего Договора будет изменена действующая ставка НДС, платежи по Договору будут осуществляться с использованием вновь установленной ставки НДС, начиная с даты ее введения.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2"/>
        </w:numPr>
        <w:ind w:left="1134" w:hanging="425"/>
        <w:jc w:val="center"/>
        <w:rPr>
          <w:b/>
          <w:b/>
        </w:rPr>
      </w:pPr>
      <w:r>
        <w:rPr>
          <w:b/>
        </w:rPr>
        <w:t>СРОК ДЕЙСТВИЯ ДОГОВОРА, ПОРЯДОК ЕГО ПРИОСТАНОВЛЕНИЯ,</w:t>
      </w:r>
    </w:p>
    <w:p>
      <w:pPr>
        <w:pStyle w:val="ListParagraph"/>
        <w:ind w:left="1418" w:hanging="0"/>
        <w:jc w:val="center"/>
        <w:rPr>
          <w:b/>
          <w:b/>
        </w:rPr>
      </w:pPr>
      <w:r>
        <w:rPr>
          <w:b/>
        </w:rPr>
        <w:t>ПЕРЕЗАКЛЮЧЕНИЯ И РАСТОРЖЕНИЯ</w:t>
      </w:r>
    </w:p>
    <w:p>
      <w:pPr>
        <w:pStyle w:val="ListParagraph"/>
        <w:ind w:left="0" w:firstLine="567"/>
        <w:rPr>
          <w:color w:val="FF0000"/>
        </w:rPr>
      </w:pPr>
      <w:r>
        <w:rPr/>
        <w:t>9.1. Настоящий договор заключается сроком на 3 (три) месяца, и вступает в силу со дня подписания «СТОРОНАМИ».</w:t>
      </w:r>
      <w:r>
        <w:rPr>
          <w:color w:val="FF0000"/>
        </w:rPr>
        <w:t xml:space="preserve"> </w:t>
      </w:r>
    </w:p>
    <w:p>
      <w:pPr>
        <w:pStyle w:val="ListParagraph"/>
        <w:ind w:left="0" w:firstLine="567"/>
        <w:rPr/>
      </w:pPr>
      <w:r>
        <w:rPr/>
        <w:t>9.2. Если за 15 дней до истечения срока действия Договора ни одна из «СТОРОН» не заявит о его расторжении, Договор считается продленным на прежних условиях и на тот же срок.</w:t>
      </w:r>
    </w:p>
    <w:p>
      <w:pPr>
        <w:pStyle w:val="ListParagraph"/>
        <w:ind w:left="0" w:firstLine="567"/>
        <w:rPr/>
      </w:pPr>
      <w:r>
        <w:rPr/>
        <w:t>9.3. В соответствии с условием, предусмотренным п. 9.2., Договор может быть продлен неограниченное количество раз.</w:t>
      </w:r>
    </w:p>
    <w:p>
      <w:pPr>
        <w:pStyle w:val="ListParagraph"/>
        <w:ind w:left="0" w:firstLine="567"/>
        <w:rPr/>
      </w:pPr>
      <w:r>
        <w:rPr/>
        <w:t>9.4. Договор может быть расторгнут досрочно (за исключением случаев, предусмотренных п.п. 8.5., 9.5. Договора) любой из «СТОРОН» в одностороннем порядке, а также в случае невыполнения одной из «СТОРОН» своих договорных обязательств, при этом заинтересованная «СТОРОНА» в письменном виде предупреждает о расторжении Договора другие «СТОРОНЫ» не менее, чем за 14 (четырнадцать) календарных дней до даты расторжения Договора.</w:t>
      </w:r>
    </w:p>
    <w:p>
      <w:pPr>
        <w:pStyle w:val="ListParagraph"/>
        <w:ind w:left="0" w:firstLine="567"/>
        <w:rPr/>
      </w:pPr>
      <w:r>
        <w:rPr/>
        <w:t>В случае неполучения стороной письма о расторжении Договора или отказа в получении указанного письма, Договор считается расторгнутым в одностороннем порядке по истечении 14 (четырнадцати) календарных дней со дня отправки письменного уведомления о расторжении Договора почтовой корреспонденцией – заказным письмом с уведомлением.</w:t>
      </w:r>
    </w:p>
    <w:p>
      <w:pPr>
        <w:pStyle w:val="ListParagraph"/>
        <w:ind w:left="0" w:firstLine="567"/>
        <w:rPr/>
      </w:pPr>
      <w:r>
        <w:rPr/>
        <w:t>9.5. В случаях возникновения технических причин, препятствующих выполнению обязанностей «ОХРАНОЙ» - Договор может быть расторгнут немедленно в день возникновения указанной причины.</w:t>
      </w:r>
    </w:p>
    <w:p>
      <w:pPr>
        <w:pStyle w:val="ListParagraph"/>
        <w:ind w:left="0" w:firstLine="567"/>
        <w:rPr/>
      </w:pPr>
      <w:r>
        <w:rPr/>
        <w:t>О расторжении Договора по этому основанию «ЗАКАЗЧИК» и «ИСПОЛНИТЕЛЬ» уведомляются «ОХРАНОЙ» письменно или посредством факсимильной связи.</w:t>
      </w:r>
    </w:p>
    <w:p>
      <w:pPr>
        <w:pStyle w:val="ListParagraph"/>
        <w:ind w:left="0" w:firstLine="567"/>
        <w:rPr/>
      </w:pPr>
      <w:r>
        <w:rPr/>
        <w:t>9.6. Настоящий Договор приостанавливается до устранения следующих причин:</w:t>
      </w:r>
    </w:p>
    <w:p>
      <w:pPr>
        <w:pStyle w:val="Normal"/>
        <w:rPr/>
      </w:pPr>
      <w:r>
        <w:rPr/>
        <w:t>При отключении электроэнергии, нарушении работоспособности телефонных линий, по которым сигнализация выведена на ПЦО, неисправности сигнализации по вине «ЗАКАЗЧИКА» и/или «ИСПОЛНИТЕЛЯ».</w:t>
      </w:r>
    </w:p>
    <w:p>
      <w:pPr>
        <w:pStyle w:val="Normal"/>
        <w:rPr/>
      </w:pPr>
      <w:r>
        <w:rPr/>
        <w:t>В течение всего периода приостановления действия Договора, при условии осуществления контроля за объектом посредством ПЦО через городскую телефонную сеть или канал сотовой связи, «ЗАКАЗЧИК» компенсирует «ОХРАНЕ» затраты, связанные с вторичным использованием телефонных линий связи, либо затраты оператору сотовой связи, связанные с ежемесячной абонентской платой. Размер компенсации определяется тарифами, установленными операторами телефонной или сотовой связи и действующими в период приостановки действия Договора.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2"/>
        </w:numPr>
        <w:ind w:left="4111" w:hanging="360"/>
        <w:rPr>
          <w:b/>
          <w:b/>
        </w:rPr>
      </w:pPr>
      <w:r>
        <w:rPr>
          <w:b/>
        </w:rPr>
        <w:t>ПРОЧИЕ УСЛОВИЯ</w:t>
      </w:r>
    </w:p>
    <w:p>
      <w:pPr>
        <w:pStyle w:val="ListParagraph"/>
        <w:ind w:left="0" w:firstLine="567"/>
        <w:rPr>
          <w:b/>
          <w:b/>
        </w:rPr>
      </w:pPr>
      <w:r>
        <w:rPr/>
        <w:t>10.1. Все споры по настоящему Договору должны решаться «СТОРОНАМИ» путем переговоров, а в случае невозможности достичь соглашения – в установленном законодательством Российской Федерации порядке.</w:t>
      </w:r>
    </w:p>
    <w:p>
      <w:pPr>
        <w:pStyle w:val="ListParagraph"/>
        <w:ind w:left="0" w:firstLine="567"/>
        <w:rPr>
          <w:b/>
          <w:b/>
        </w:rPr>
      </w:pPr>
      <w:r>
        <w:rPr/>
        <w:t>10.2. Взаимоотношения, не урегулированные условиями настоящего Договора, разрешаются в предусмотренном законодательством Российской Федерации порядке.</w:t>
      </w:r>
    </w:p>
    <w:p>
      <w:pPr>
        <w:pStyle w:val="ListParagraph"/>
        <w:ind w:left="0" w:firstLine="567"/>
        <w:rPr>
          <w:b/>
          <w:b/>
        </w:rPr>
      </w:pPr>
      <w:r>
        <w:rPr/>
        <w:t>10.3. Все изменения и дополнения к настоящему Договору имеют силу только в случае их письменного оформления, подписания уполномоченными представителями «СТОРОН» и содержания прямой ссылки на настоящий Договор.</w:t>
      </w:r>
    </w:p>
    <w:p>
      <w:pPr>
        <w:pStyle w:val="ListParagraph"/>
        <w:ind w:left="0" w:firstLine="567"/>
        <w:rPr>
          <w:b/>
          <w:b/>
        </w:rPr>
      </w:pPr>
      <w:r>
        <w:rPr/>
        <w:t xml:space="preserve">10.4. «ОХРАНА» и «ИСПОЛНИТЕЛЬ» имеют право уведомить «ЗАКАЗЧИКА» о действующих тарифах, банковских реквизитах, порядке взаиморасчетов, перезаключении договоров, наличии задолженности по альтернативным каналам связи – </w:t>
      </w:r>
      <w:r>
        <w:rPr>
          <w:lang w:val="en-US"/>
        </w:rPr>
        <w:t>SMS</w:t>
      </w:r>
      <w:r>
        <w:rPr/>
        <w:t xml:space="preserve">, </w:t>
      </w:r>
      <w:r>
        <w:rPr>
          <w:lang w:val="en-US"/>
        </w:rPr>
        <w:t>E</w:t>
      </w:r>
      <w:r>
        <w:rPr/>
        <w:t>-</w:t>
      </w:r>
      <w:r>
        <w:rPr>
          <w:lang w:val="en-US"/>
        </w:rPr>
        <w:t>mail</w:t>
      </w:r>
      <w:r>
        <w:rPr/>
        <w:t>, автоинформирование.</w:t>
      </w:r>
    </w:p>
    <w:p>
      <w:pPr>
        <w:pStyle w:val="ListParagraph"/>
        <w:ind w:left="0" w:firstLine="567"/>
        <w:rPr/>
      </w:pPr>
      <w:r>
        <w:rPr/>
        <w:t>10.5. Настоящий Договор с Приложениями №№ 1,2,3 являющимися его неотъемлемой частью, составлен в 3-х экземплярах, каждый из которых имеет одинаковую юридическую силу. Первый экземпляр находится у «ОХРАНЫ», второй – у «ИСПОЛНИТЕЛЯ», третий – у «ЗАКАЗЧИКА».</w:t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ListParagraph"/>
        <w:ind w:left="0" w:firstLine="567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Normal"/>
        <w:ind w:hanging="0"/>
        <w:rPr/>
      </w:pPr>
      <w:r>
        <w:rPr/>
      </w:r>
    </w:p>
    <w:p>
      <w:pPr>
        <w:pStyle w:val="ListParagraph"/>
        <w:numPr>
          <w:ilvl w:val="0"/>
          <w:numId w:val="2"/>
        </w:numPr>
        <w:jc w:val="center"/>
        <w:rPr>
          <w:b/>
          <w:b/>
          <w:bCs/>
          <w:spacing w:val="-1"/>
          <w:sz w:val="19"/>
          <w:szCs w:val="19"/>
        </w:rPr>
      </w:pPr>
      <w:r>
        <w:rPr>
          <w:b/>
          <w:bCs/>
          <w:spacing w:val="-1"/>
          <w:sz w:val="19"/>
          <w:szCs w:val="19"/>
        </w:rPr>
        <w:t>АДРЕСА И РЕКВИЗИТЫ «СТОРОН»</w:t>
      </w:r>
    </w:p>
    <w:p>
      <w:pPr>
        <w:pStyle w:val="ListParagraph"/>
        <w:ind w:left="720" w:hanging="0"/>
        <w:rPr>
          <w:b/>
          <w:b/>
          <w:bCs/>
          <w:spacing w:val="-1"/>
          <w:sz w:val="19"/>
          <w:szCs w:val="19"/>
        </w:rPr>
      </w:pPr>
      <w:r>
        <w:rPr>
          <w:b/>
          <w:bCs/>
          <w:spacing w:val="-1"/>
          <w:sz w:val="19"/>
          <w:szCs w:val="19"/>
        </w:rPr>
      </w:r>
    </w:p>
    <w:tbl>
      <w:tblPr>
        <w:tblStyle w:val="ae"/>
        <w:tblW w:w="1048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38"/>
        <w:gridCol w:w="560"/>
        <w:gridCol w:w="4890"/>
      </w:tblGrid>
      <w:tr>
        <w:trPr>
          <w:trHeight w:val="6311" w:hRule="atLeast"/>
        </w:trPr>
        <w:tc>
          <w:tcPr>
            <w:tcW w:w="503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lineRule="auto" w:line="360"/>
              <w:ind w:firstLine="284"/>
              <w:jc w:val="both"/>
              <w:rPr>
                <w:rFonts w:ascii="PT Sans" w:hAnsi="PT Sans" w:eastAsia="Tahoma" w:cs="Noto Sans Devanagari"/>
                <w:szCs w:val="24"/>
                <w:lang w:eastAsia="zh-CN" w:bidi="hi-IN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 xml:space="preserve">«ОХРАНА»                                                                             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ФГКУ «УВО ВНГ России по Орловской области»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Юридический адрес:</w:t>
            </w: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 xml:space="preserve"> </w:t>
            </w: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302040, Орловская область,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г. Орел, ул. М. Горького, д. 47 «3», корп. 1,2</w:t>
            </w:r>
          </w:p>
          <w:p>
            <w:pPr>
              <w:pStyle w:val="Normal"/>
              <w:tabs>
                <w:tab w:val="clear" w:pos="709"/>
                <w:tab w:val="left" w:pos="5670" w:leader="none"/>
              </w:tabs>
              <w:suppressAutoHyphens w:val="true"/>
              <w:ind w:hanging="0"/>
              <w:jc w:val="left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ИНН 5753058320; КПП 575301001;                                                               </w:t>
            </w:r>
          </w:p>
          <w:p>
            <w:pPr>
              <w:pStyle w:val="Normal"/>
              <w:suppressAutoHyphens w:val="true"/>
              <w:ind w:hanging="0"/>
              <w:jc w:val="left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ОГРН 1125740004334; ОКТМО 54701000001;                                             </w:t>
            </w:r>
          </w:p>
          <w:p>
            <w:pPr>
              <w:pStyle w:val="Normal"/>
              <w:suppressAutoHyphens w:val="true"/>
              <w:ind w:hanging="0"/>
              <w:jc w:val="left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ОКАТО 54401369000; ОКПО 08683116;          </w:t>
            </w:r>
          </w:p>
          <w:p>
            <w:pPr>
              <w:pStyle w:val="Normal"/>
              <w:suppressAutoHyphens w:val="true"/>
              <w:ind w:hanging="0"/>
              <w:jc w:val="left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ОКОГУ 1319818; ОКОПФ 75104; ОКФС 12;                                               </w:t>
            </w:r>
          </w:p>
          <w:p>
            <w:pPr>
              <w:pStyle w:val="Normal"/>
              <w:suppressAutoHyphens w:val="true"/>
              <w:ind w:hanging="0"/>
              <w:jc w:val="left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УФК по Орловской области (ФГКУ «УВО ВНГ                                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России по Орловской области», л/с 04541</w:t>
            </w:r>
            <w:r>
              <w:rPr>
                <w:rFonts w:eastAsia="Tahoma" w:cs="Noto Sans Devanagari" w:ascii="PT Sans" w:hAnsi="PT Sans"/>
                <w:sz w:val="19"/>
                <w:szCs w:val="19"/>
                <w:lang w:val="en-US" w:eastAsia="zh-CN" w:bidi="hi-IN"/>
              </w:rPr>
              <w:t>D</w:t>
            </w: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14480)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Расчетный счет (номер казначейского счета):                                    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№ </w:t>
            </w: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03100643000000015400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ОТДЕЛЕНИЕ ОРЕЛ БАНКА РОССИИ//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УФК по Орловской области г. Орёл                       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БИК 015402901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Коррсчет (ЕКС): № 40102810545370000046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rFonts w:ascii="PT Sans" w:hAnsi="PT Sans" w:eastAsia="Tahoma" w:cs="Noto Sans Devanagari"/>
                <w:szCs w:val="24"/>
                <w:lang w:eastAsia="zh-CN" w:bidi="hi-IN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КБК 18011301081017000130</w:t>
              <w:tab/>
              <w:tab/>
              <w:tab/>
              <w:t xml:space="preserve">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rFonts w:ascii="PT Sans" w:hAnsi="PT Sans" w:eastAsia="Tahoma" w:cs="Noto Sans Devanagari"/>
                <w:szCs w:val="24"/>
                <w:lang w:eastAsia="zh-CN" w:bidi="hi-IN"/>
              </w:rPr>
            </w:pPr>
            <w:r>
              <w:rPr>
                <w:rFonts w:eastAsia="Tahoma" w:cs="Noto Sans Devanagari" w:ascii="PT Sans" w:hAnsi="PT Sans"/>
                <w:szCs w:val="24"/>
                <w:lang w:eastAsia="zh-CN" w:bidi="hi-IN"/>
              </w:rPr>
              <w:t>Код по сводному реестру 001</w:t>
            </w:r>
            <w:r>
              <w:rPr>
                <w:rFonts w:eastAsia="Tahoma" w:cs="Noto Sans Devanagari" w:ascii="PT Sans" w:hAnsi="PT Sans"/>
                <w:szCs w:val="24"/>
                <w:lang w:val="en-US" w:eastAsia="zh-CN" w:bidi="hi-IN"/>
              </w:rPr>
              <w:t>D</w:t>
            </w:r>
            <w:r>
              <w:rPr>
                <w:rFonts w:eastAsia="Tahoma" w:cs="Noto Sans Devanagari" w:ascii="PT Sans" w:hAnsi="PT Sans"/>
                <w:szCs w:val="24"/>
                <w:lang w:eastAsia="zh-CN" w:bidi="hi-IN"/>
              </w:rPr>
              <w:t>1448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rFonts w:ascii="PT Sans" w:hAnsi="PT Sans" w:eastAsia="Tahoma" w:cs="Noto Sans Devanagari"/>
                <w:szCs w:val="24"/>
                <w:lang w:eastAsia="zh-CN" w:bidi="hi-IN"/>
              </w:rPr>
            </w:pPr>
            <w:r>
              <w:rPr>
                <w:rFonts w:eastAsia="Tahoma" w:cs="Noto Sans Devanagari" w:ascii="PT Sans" w:hAnsi="PT Sans"/>
                <w:szCs w:val="24"/>
                <w:lang w:eastAsia="zh-CN" w:bidi="hi-IN"/>
              </w:rPr>
              <w:t>Тел. факс.: (4862) 76-07-77; (4862) 43-27-21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Бухгалтерия: (4862) 59-94-99; 43-27-23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6"/>
                <w:szCs w:val="16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val="en-US" w:eastAsia="zh-CN" w:bidi="hi-IN"/>
              </w:rPr>
              <w:t>E</w:t>
            </w: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-</w:t>
            </w:r>
            <w:r>
              <w:rPr>
                <w:rFonts w:eastAsia="Tahoma" w:cs="Noto Sans Devanagari" w:ascii="PT Sans" w:hAnsi="PT Sans"/>
                <w:sz w:val="19"/>
                <w:szCs w:val="19"/>
                <w:lang w:val="en-US" w:eastAsia="zh-CN" w:bidi="hi-IN"/>
              </w:rPr>
              <w:t>mail</w:t>
            </w: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: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 xml:space="preserve">Начальник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____________________________________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6"/>
                <w:szCs w:val="16"/>
              </w:rPr>
            </w:pPr>
            <w:r>
              <w:rPr>
                <w:rFonts w:eastAsia="Tahoma" w:cs="Noto Sans Devanagari" w:ascii="PT Sans" w:hAnsi="PT Sans"/>
                <w:sz w:val="16"/>
                <w:szCs w:val="16"/>
                <w:lang w:eastAsia="zh-CN" w:bidi="hi-IN"/>
              </w:rPr>
              <w:t xml:space="preserve">                     </w:t>
            </w:r>
            <w:r>
              <w:rPr>
                <w:rFonts w:eastAsia="Tahoma" w:cs="Noto Sans Devanagari" w:ascii="PT Sans" w:hAnsi="PT Sans"/>
                <w:sz w:val="16"/>
                <w:szCs w:val="16"/>
                <w:lang w:eastAsia="zh-CN" w:bidi="hi-IN"/>
              </w:rPr>
              <w:t>М.П. (подпись)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lineRule="auto" w:line="360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spacing w:lineRule="auto" w:line="360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</w:tc>
        <w:tc>
          <w:tcPr>
            <w:tcW w:w="48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suppressAutoHyphens w:val="true"/>
              <w:spacing w:lineRule="auto" w:line="360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«ИСПОЛНИТЕЛЬ»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ФГУП «ОХРАНА» Росгвардии филиал по Орловской области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Юридический адрес: 127473, г. Москва, ул. Делегатская, д. 5, строение 1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Местонахождение филиала: 302026, г. Орел, ул. Карачевская, д. 84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ИНН 7719555477/ КПП 575343001     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 xml:space="preserve">р/с 40502810747000172009         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в Орловском отделении № 8595 Сбербанка РФ г. Орел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БИК 045402601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К/с 30101810300000000601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sz w:val="19"/>
                <w:szCs w:val="19"/>
                <w:lang w:eastAsia="zh-CN" w:bidi="hi-IN"/>
              </w:rPr>
              <w:t>тел.800-450-00-02; тел./факс (4862) 59-63-93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lang w:val="en-US"/>
              </w:rPr>
            </w:pPr>
            <w:r>
              <w:rPr>
                <w:rFonts w:eastAsia="Tahoma" w:cs="Noto Sans Devanagari" w:ascii="PT Sans" w:hAnsi="PT Sans"/>
                <w:sz w:val="19"/>
                <w:szCs w:val="24"/>
                <w:lang w:val="en-US" w:eastAsia="zh-CN" w:bidi="hi-IN"/>
              </w:rPr>
              <w:t xml:space="preserve">E-mail: </w:t>
            </w:r>
            <w:hyperlink r:id="rId2">
              <w:r>
                <w:rPr>
                  <w:rFonts w:eastAsia="Tahoma" w:cs="Noto Sans Devanagari" w:ascii="PT Sans" w:hAnsi="PT Sans"/>
                  <w:sz w:val="19"/>
                  <w:szCs w:val="24"/>
                  <w:lang w:val="en-US" w:eastAsia="zh-CN" w:bidi="hi-IN"/>
                </w:rPr>
                <w:t>fgup-orel57@mail.ru</w:t>
              </w:r>
            </w:hyperlink>
            <w:r>
              <w:rPr>
                <w:rFonts w:eastAsia="Tahoma" w:cs="Noto Sans Devanagari" w:ascii="PT Sans" w:hAnsi="PT Sans"/>
                <w:sz w:val="19"/>
                <w:szCs w:val="24"/>
                <w:lang w:val="en-US" w:eastAsia="zh-CN" w:bidi="hi-IN"/>
              </w:rPr>
              <w:t xml:space="preserve">, </w:t>
            </w:r>
            <w:hyperlink r:id="rId3">
              <w:r>
                <w:rPr>
                  <w:rFonts w:eastAsia="Tahoma" w:cs="Noto Sans Devanagari" w:ascii="PT Sans" w:hAnsi="PT Sans"/>
                  <w:sz w:val="19"/>
                  <w:szCs w:val="24"/>
                  <w:lang w:val="en-US" w:eastAsia="zh-CN" w:bidi="hi-IN"/>
                </w:rPr>
                <w:t>fguporel57@yandex.ru</w:t>
              </w:r>
            </w:hyperlink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  <w:lang w:val="en-US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val="en-US"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Директор филиала ФГУП «Охрана» Росгвардии по Орловской области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6"/>
                <w:szCs w:val="16"/>
              </w:rPr>
            </w:pPr>
            <w:r>
              <w:rPr>
                <w:rFonts w:eastAsia="Tahoma" w:cs="Noto Sans Devanagari" w:ascii="PT Sans" w:hAnsi="PT Sans"/>
                <w:b/>
                <w:sz w:val="16"/>
                <w:szCs w:val="16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b/>
                <w:b/>
                <w:sz w:val="19"/>
                <w:szCs w:val="19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>________________________________</w:t>
            </w:r>
          </w:p>
          <w:p>
            <w:pPr>
              <w:pStyle w:val="Normal"/>
              <w:suppressAutoHyphens w:val="true"/>
              <w:ind w:hanging="0"/>
              <w:jc w:val="both"/>
              <w:rPr>
                <w:sz w:val="16"/>
                <w:szCs w:val="16"/>
              </w:rPr>
            </w:pPr>
            <w:r>
              <w:rPr>
                <w:rFonts w:eastAsia="Tahoma" w:cs="Noto Sans Devanagari" w:ascii="PT Sans" w:hAnsi="PT Sans"/>
                <w:b/>
                <w:sz w:val="19"/>
                <w:szCs w:val="19"/>
                <w:lang w:eastAsia="zh-CN" w:bidi="hi-IN"/>
              </w:rPr>
              <w:t xml:space="preserve">                </w:t>
            </w:r>
            <w:r>
              <w:rPr>
                <w:rFonts w:eastAsia="Tahoma" w:cs="Noto Sans Devanagari" w:ascii="PT Sans" w:hAnsi="PT Sans"/>
                <w:sz w:val="16"/>
                <w:szCs w:val="16"/>
                <w:lang w:eastAsia="zh-CN" w:bidi="hi-IN"/>
              </w:rPr>
              <w:t>М.П. (подпись)</w:t>
            </w:r>
          </w:p>
        </w:tc>
      </w:tr>
    </w:tbl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>«ЗАКАЗЧИК»</w:t>
      </w:r>
    </w:p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/>
      </w:pPr>
      <w:r>
        <w:rPr/>
        <w:t>_________________________</w:t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  <w:t xml:space="preserve">                   </w:t>
      </w:r>
      <w:r>
        <w:rPr>
          <w:sz w:val="16"/>
          <w:szCs w:val="16"/>
        </w:rPr>
        <w:t xml:space="preserve">(подпись)                       </w:t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hanging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561" w:firstLine="5670"/>
        <w:rPr>
          <w:b/>
          <w:b/>
          <w:color w:val="000000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3164840</wp:posOffset>
                </wp:positionH>
                <wp:positionV relativeFrom="paragraph">
                  <wp:posOffset>-277495</wp:posOffset>
                </wp:positionV>
                <wp:extent cx="271145" cy="222885"/>
                <wp:effectExtent l="0" t="2540" r="0" b="3810"/>
                <wp:wrapNone/>
                <wp:docPr id="1" name="Rectangl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60" cy="2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2" fillcolor="white" stroked="f" style="position:absolute;margin-left:249.2pt;margin-top:-21.85pt;width:21.25pt;height:17.45pt">
                <w10:wrap type="none"/>
                <v:fill o:detectmouseclick="t" type="solid" color2="black"/>
                <v:stroke color="#3465a4" joinstyle="round" endcap="flat"/>
              </v:rect>
            </w:pict>
          </mc:Fallback>
        </mc:AlternateContent>
      </w:r>
      <w:r>
        <w:rPr>
          <w:b/>
          <w:color w:val="000000"/>
          <w:sz w:val="28"/>
          <w:szCs w:val="28"/>
        </w:rPr>
        <w:t xml:space="preserve">Приложение № 1 к договору </w:t>
      </w:r>
    </w:p>
    <w:p>
      <w:pPr>
        <w:pStyle w:val="Normal"/>
        <w:tabs>
          <w:tab w:val="clear" w:pos="709"/>
          <w:tab w:val="left" w:pos="5700" w:leader="none"/>
        </w:tabs>
        <w:ind w:left="5664" w:firstLine="567"/>
        <w:rPr/>
      </w:pPr>
      <w:r>
        <w:rPr>
          <w:b/>
          <w:color w:val="FF0000"/>
          <w:sz w:val="28"/>
          <w:szCs w:val="28"/>
        </w:rPr>
        <w:t xml:space="preserve">№ </w:t>
      </w:r>
      <w:r>
        <w:rPr>
          <w:b/>
          <w:color w:val="FF0000"/>
          <w:sz w:val="28"/>
          <w:szCs w:val="28"/>
        </w:rPr>
        <w:t>___/_________________</w:t>
      </w:r>
    </w:p>
    <w:p>
      <w:pPr>
        <w:pStyle w:val="Normal"/>
        <w:tabs>
          <w:tab w:val="clear" w:pos="709"/>
          <w:tab w:val="left" w:pos="5700" w:leader="none"/>
        </w:tabs>
        <w:ind w:left="5664" w:firstLine="567"/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«        » ___________ 2025 г.</w:t>
      </w:r>
    </w:p>
    <w:p>
      <w:pPr>
        <w:pStyle w:val="Normal"/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Normal"/>
        <w:tabs>
          <w:tab w:val="clear" w:pos="709"/>
          <w:tab w:val="left" w:pos="250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Перечень «ОБЪЕКТОВ» и стоимость предоставляемых услуг «Исполнителем» </w:t>
      </w:r>
    </w:p>
    <w:p>
      <w:pPr>
        <w:pStyle w:val="Normal"/>
        <w:tabs>
          <w:tab w:val="clear" w:pos="709"/>
          <w:tab w:val="left" w:pos="250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(Филиалом ФГУП «Охрана» Росгвардии)</w:t>
      </w:r>
    </w:p>
    <w:p>
      <w:pPr>
        <w:pStyle w:val="Normal"/>
        <w:tabs>
          <w:tab w:val="clear" w:pos="709"/>
          <w:tab w:val="left" w:pos="2505" w:leader="none"/>
        </w:tabs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957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463"/>
        <w:gridCol w:w="2196"/>
        <w:gridCol w:w="2409"/>
        <w:gridCol w:w="1559"/>
        <w:gridCol w:w="1560"/>
        <w:gridCol w:w="1383"/>
      </w:tblGrid>
      <w:tr>
        <w:trPr/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 xml:space="preserve">№ </w:t>
            </w:r>
            <w:r>
              <w:rPr>
                <w:b/>
              </w:rPr>
              <w:t>п/п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ind w:hanging="0"/>
              <w:rPr>
                <w:b/>
                <w:b/>
              </w:rPr>
            </w:pPr>
            <w:r>
              <w:rPr>
                <w:b/>
              </w:rPr>
              <w:t>Адрес «ОБЪЕКТА»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Вид</w:t>
            </w:r>
          </w:p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предоставляемой</w:t>
            </w:r>
          </w:p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highlight w:val="yellow"/>
              </w:rPr>
            </w:pPr>
            <w:r>
              <w:rPr>
                <w:b/>
              </w:rPr>
              <w:t>услуги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ind w:hanging="0"/>
              <w:rPr>
                <w:b/>
                <w:b/>
              </w:rPr>
            </w:pPr>
            <w:r>
              <w:rPr>
                <w:b/>
              </w:rPr>
              <w:t>Количество условных установок ТСС на «ОБЪЕКТЕ»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ind w:hanging="0"/>
              <w:jc w:val="center"/>
              <w:rPr>
                <w:b/>
                <w:b/>
              </w:rPr>
            </w:pPr>
            <w:r>
              <w:rPr>
                <w:b/>
              </w:rPr>
              <w:t>Тариф (ежемесячная плата) на ТО 1 «ОБЪЕКТЕ» с НДС (для «комплексов» до 4 УУ)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ind w:hanging="0"/>
              <w:rPr>
                <w:b/>
                <w:b/>
              </w:rPr>
            </w:pPr>
            <w:r>
              <w:rPr>
                <w:b/>
              </w:rPr>
              <w:t>Стоимость ежемесячной платы (в руб.), с НДС</w:t>
            </w:r>
          </w:p>
        </w:tc>
      </w:tr>
      <w:tr>
        <w:trPr/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>
          <w:trHeight w:val="113" w:hRule="atLeast"/>
        </w:trPr>
        <w:tc>
          <w:tcPr>
            <w:tcW w:w="50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</w:t>
            </w:r>
            <w:r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81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825" w:leader="none"/>
                <w:tab w:val="left" w:pos="2505" w:leader="none"/>
              </w:tabs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ab/>
            </w:r>
            <w:r>
              <w:rPr>
                <w:b/>
              </w:rPr>
              <w:t xml:space="preserve">    в том числе НДС (20%) за тех. обслуживание, в руб.</w:t>
            </w:r>
            <w:r>
              <w:rPr>
                <w:b/>
                <w:sz w:val="28"/>
                <w:szCs w:val="28"/>
              </w:rPr>
              <w:tab/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9"/>
                <w:tab w:val="left" w:pos="2505" w:leader="none"/>
              </w:tabs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</w:tbl>
    <w:p>
      <w:pPr>
        <w:pStyle w:val="111"/>
        <w:tabs>
          <w:tab w:val="clear" w:pos="709"/>
          <w:tab w:val="left" w:pos="7513" w:leader="none"/>
        </w:tabs>
        <w:ind w:left="426" w:firstLine="426"/>
        <w:rPr>
          <w:spacing w:val="-1"/>
          <w:sz w:val="19"/>
          <w:szCs w:val="19"/>
        </w:rPr>
      </w:pPr>
      <w:r>
        <w:rPr>
          <w:spacing w:val="-1"/>
          <w:sz w:val="19"/>
          <w:szCs w:val="19"/>
        </w:rPr>
      </w:r>
    </w:p>
    <w:p>
      <w:pPr>
        <w:pStyle w:val="Normal"/>
        <w:rPr>
          <w:b/>
          <w:b/>
          <w:bCs/>
          <w:spacing w:val="-1"/>
          <w:sz w:val="19"/>
          <w:szCs w:val="19"/>
        </w:rPr>
      </w:pPr>
      <w:r>
        <w:rPr>
          <w:b/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ind w:firstLine="426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 xml:space="preserve">Начальник  </w:t>
        <w:tab/>
        <w:tab/>
        <w:tab/>
        <w:t xml:space="preserve">                                                          Директор филиала</w:t>
      </w:r>
    </w:p>
    <w:p>
      <w:pPr>
        <w:pStyle w:val="Normal"/>
        <w:ind w:firstLine="426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ab/>
        <w:tab/>
        <w:tab/>
        <w:t xml:space="preserve">                                                                    ФГУП «Охрана» Росгвардии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ab/>
        <w:tab/>
        <w:tab/>
        <w:tab/>
        <w:tab/>
        <w:tab/>
        <w:tab/>
        <w:t>по Орловской области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 xml:space="preserve">_________________________________ </w:t>
        <w:tab/>
        <w:tab/>
        <w:tab/>
        <w:t>_________________________</w:t>
      </w:r>
    </w:p>
    <w:p>
      <w:pPr>
        <w:pStyle w:val="Normal"/>
        <w:ind w:left="426" w:firstLine="567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>
        <w:rPr>
          <w:sz w:val="16"/>
          <w:szCs w:val="16"/>
        </w:rPr>
        <w:t>М.П. (подпись)</w:t>
        <w:tab/>
        <w:tab/>
        <w:tab/>
        <w:tab/>
        <w:tab/>
        <w:t>М.П. (подпись)</w:t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>«ЗАКАЗЧИК»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rPr/>
      </w:pPr>
      <w:r>
        <w:rPr/>
        <w:t>______________________</w:t>
      </w:r>
    </w:p>
    <w:p>
      <w:pPr>
        <w:pStyle w:val="Normal"/>
        <w:ind w:left="426" w:firstLine="567"/>
        <w:rPr/>
      </w:pPr>
      <w:r>
        <w:rPr>
          <w:sz w:val="16"/>
          <w:szCs w:val="16"/>
        </w:rPr>
        <w:t xml:space="preserve">         </w:t>
      </w:r>
      <w:r>
        <w:rPr>
          <w:sz w:val="16"/>
          <w:szCs w:val="16"/>
        </w:rPr>
        <w:t xml:space="preserve">(подпись)                                  </w:t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Cs/>
          <w:spacing w:val="-1"/>
          <w:sz w:val="19"/>
          <w:szCs w:val="19"/>
        </w:rPr>
      </w:r>
    </w:p>
    <w:p>
      <w:pPr>
        <w:pStyle w:val="Normal"/>
        <w:tabs>
          <w:tab w:val="clear" w:pos="709"/>
          <w:tab w:val="left" w:pos="6630" w:leader="none"/>
        </w:tabs>
        <w:ind w:left="426" w:firstLine="567"/>
        <w:rPr>
          <w:bCs/>
          <w:spacing w:val="-1"/>
          <w:sz w:val="19"/>
          <w:szCs w:val="19"/>
        </w:rPr>
      </w:pPr>
      <w:r>
        <w:rPr>
          <w:b/>
          <w:color w:val="FF0000"/>
          <w:sz w:val="28"/>
          <w:szCs w:val="28"/>
        </w:rPr>
      </w:r>
    </w:p>
    <w:p>
      <w:pPr>
        <w:pStyle w:val="Normal"/>
        <w:tabs>
          <w:tab w:val="clear" w:pos="709"/>
          <w:tab w:val="left" w:pos="6630" w:leader="none"/>
        </w:tabs>
        <w:ind w:left="6379" w:hanging="0"/>
        <w:rPr>
          <w:b/>
          <w:b/>
          <w:color w:val="000000"/>
          <w:sz w:val="28"/>
          <w:szCs w:val="28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3164840</wp:posOffset>
                </wp:positionH>
                <wp:positionV relativeFrom="paragraph">
                  <wp:posOffset>-323850</wp:posOffset>
                </wp:positionV>
                <wp:extent cx="271145" cy="222885"/>
                <wp:effectExtent l="0" t="0" r="0" b="635"/>
                <wp:wrapNone/>
                <wp:docPr id="2" name="Rectangl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360" cy="22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 3" fillcolor="white" stroked="f" style="position:absolute;margin-left:249.2pt;margin-top:-25.5pt;width:21.25pt;height:17.45pt">
                <w10:wrap type="none"/>
                <v:fill o:detectmouseclick="t" type="solid" color2="black"/>
                <v:stroke color="#3465a4" joinstyle="round" endcap="flat"/>
              </v:rect>
            </w:pict>
          </mc:Fallback>
        </mc:AlternateContent>
      </w:r>
      <w:r>
        <w:rPr>
          <w:b/>
          <w:color w:val="000000"/>
          <w:sz w:val="28"/>
          <w:szCs w:val="28"/>
        </w:rPr>
        <w:t xml:space="preserve">   </w:t>
      </w:r>
      <w:r>
        <w:rPr>
          <w:b/>
          <w:color w:val="000000"/>
          <w:sz w:val="28"/>
          <w:szCs w:val="28"/>
        </w:rPr>
        <w:t xml:space="preserve">Приложение № 2 к договору </w:t>
      </w:r>
    </w:p>
    <w:p>
      <w:pPr>
        <w:pStyle w:val="Normal"/>
        <w:tabs>
          <w:tab w:val="clear" w:pos="709"/>
          <w:tab w:val="left" w:pos="6630" w:leader="none"/>
        </w:tabs>
        <w:rPr/>
      </w:pPr>
      <w:r>
        <w:rPr>
          <w:b/>
          <w:color w:val="FF0000"/>
          <w:sz w:val="28"/>
          <w:szCs w:val="28"/>
        </w:rPr>
        <w:tab/>
        <w:t>№ ___/_________________</w:t>
      </w:r>
    </w:p>
    <w:p>
      <w:pPr>
        <w:pStyle w:val="Normal"/>
        <w:tabs>
          <w:tab w:val="clear" w:pos="709"/>
          <w:tab w:val="left" w:pos="6630" w:leader="none"/>
        </w:tabs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ab/>
        <w:t>«       » ____________  2025 г.</w:t>
      </w:r>
    </w:p>
    <w:p>
      <w:pPr>
        <w:pStyle w:val="Normal"/>
        <w:tabs>
          <w:tab w:val="clear" w:pos="709"/>
          <w:tab w:val="left" w:pos="6630" w:leader="none"/>
        </w:tabs>
        <w:rPr>
          <w:b/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Normal"/>
        <w:tabs>
          <w:tab w:val="clear" w:pos="709"/>
          <w:tab w:val="left" w:pos="6630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Состав «Комплекса»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1028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47"/>
        <w:gridCol w:w="2550"/>
        <w:gridCol w:w="2546"/>
        <w:gridCol w:w="2637"/>
      </w:tblGrid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hanging="0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Технические средства сигнализации (ТСС)</w:t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hanging="0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 ТСС (шт.)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hanging="0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УУ в 1 ТСС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hanging="0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 УУ (ед.)</w:t>
            </w:r>
          </w:p>
        </w:tc>
      </w:tr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</w:tr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b/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Normal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</w:tc>
      </w:tr>
      <w:tr>
        <w:trPr/>
        <w:tc>
          <w:tcPr>
            <w:tcW w:w="76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b/>
                <w:b/>
                <w:bCs/>
                <w:spacing w:val="-1"/>
                <w:sz w:val="19"/>
                <w:szCs w:val="19"/>
              </w:rPr>
            </w:pPr>
            <w:r>
              <w:rPr>
                <w:b/>
                <w:bCs/>
                <w:spacing w:val="-1"/>
                <w:sz w:val="19"/>
                <w:szCs w:val="19"/>
              </w:rPr>
            </w:r>
          </w:p>
          <w:p>
            <w:pPr>
              <w:pStyle w:val="Normal"/>
              <w:rPr/>
            </w:pPr>
            <w:r>
              <w:rPr>
                <w:b/>
                <w:sz w:val="28"/>
                <w:szCs w:val="28"/>
              </w:rPr>
              <w:t xml:space="preserve">Всего </w:t>
            </w:r>
            <w:r>
              <w:rPr>
                <w:sz w:val="28"/>
                <w:szCs w:val="28"/>
              </w:rPr>
              <w:t>условных установок (УУ):</w:t>
            </w:r>
          </w:p>
          <w:p>
            <w:pPr>
              <w:pStyle w:val="Normal"/>
              <w:rPr>
                <w:b/>
                <w:b/>
                <w:bCs/>
                <w:spacing w:val="-1"/>
                <w:sz w:val="19"/>
                <w:szCs w:val="19"/>
              </w:rPr>
            </w:pPr>
            <w:r>
              <w:rPr>
                <w:b/>
                <w:bCs/>
                <w:spacing w:val="-1"/>
                <w:sz w:val="19"/>
                <w:szCs w:val="19"/>
              </w:rPr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b/>
                <w:b/>
                <w:bCs/>
                <w:spacing w:val="-1"/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</w:r>
          </w:p>
        </w:tc>
      </w:tr>
    </w:tbl>
    <w:p>
      <w:pPr>
        <w:pStyle w:val="Normal"/>
        <w:rPr>
          <w:b/>
          <w:b/>
          <w:bCs/>
          <w:spacing w:val="-1"/>
          <w:sz w:val="19"/>
          <w:szCs w:val="19"/>
        </w:rPr>
      </w:pPr>
      <w:r>
        <w:rPr>
          <w:b/>
          <w:bCs/>
          <w:spacing w:val="-1"/>
          <w:sz w:val="19"/>
          <w:szCs w:val="19"/>
        </w:rPr>
      </w:r>
    </w:p>
    <w:p>
      <w:pPr>
        <w:pStyle w:val="Normal"/>
        <w:widowControl/>
        <w:numPr>
          <w:ilvl w:val="0"/>
          <w:numId w:val="3"/>
        </w:numPr>
        <w:tabs>
          <w:tab w:val="clear" w:pos="709"/>
          <w:tab w:val="left" w:pos="180" w:leader="none"/>
        </w:tabs>
        <w:suppressAutoHyphens w:val="true"/>
        <w:ind w:left="180" w:hanging="360"/>
        <w:rPr/>
      </w:pPr>
      <w:r>
        <w:rPr>
          <w:b/>
          <w:sz w:val="24"/>
          <w:szCs w:val="24"/>
        </w:rPr>
        <w:t>Сведения, приведенные в данном Приложении носят конфиденциальный характер, и не подлежат разглашению третьим лицам, не связанным с оказанием услуг, эксплуатацией и обслуживанием «КОМПЛЕКСА».</w:t>
      </w:r>
      <w:r>
        <w:rPr>
          <w:sz w:val="24"/>
          <w:szCs w:val="24"/>
        </w:rPr>
        <w:t xml:space="preserve"> Данные сведения могут быть предоставлены органам государственной власти, иным государственным органам, органам местного самоуправления на основании их мотивированных запросов (требований) в случаях, предусмотренных законодательством Российской Федерации. </w:t>
      </w:r>
    </w:p>
    <w:p>
      <w:pPr>
        <w:pStyle w:val="Normal"/>
        <w:widowControl/>
        <w:numPr>
          <w:ilvl w:val="0"/>
          <w:numId w:val="3"/>
        </w:numPr>
        <w:tabs>
          <w:tab w:val="clear" w:pos="709"/>
          <w:tab w:val="left" w:pos="180" w:leader="none"/>
        </w:tabs>
        <w:suppressAutoHyphens w:val="true"/>
        <w:ind w:left="180" w:hanging="360"/>
        <w:rPr>
          <w:sz w:val="24"/>
          <w:szCs w:val="24"/>
        </w:rPr>
      </w:pPr>
      <w:r>
        <w:rPr>
          <w:sz w:val="24"/>
          <w:szCs w:val="24"/>
        </w:rPr>
        <w:t>Доступ к данным сведениям ограничивается «ЗАКАЗЧИКОМ» кругом доверенных лиц, имеющим право проверять работоспособность установленных на «ОБЪЕКТЕ» технических средств сигнализации, сдавать «ОБЪЕКТ» под централизованное наблюдение (снимать с централизованного наблюдения).</w:t>
      </w:r>
    </w:p>
    <w:p>
      <w:pPr>
        <w:pStyle w:val="111"/>
        <w:tabs>
          <w:tab w:val="clear" w:pos="709"/>
          <w:tab w:val="left" w:pos="7513" w:leader="none"/>
        </w:tabs>
        <w:rPr>
          <w:rFonts w:ascii="Times New Roman" w:hAnsi="Times New Roman" w:cs="Times New Roman"/>
          <w:b w:val="false"/>
          <w:b w:val="false"/>
          <w:bCs w:val="false"/>
          <w:sz w:val="19"/>
          <w:szCs w:val="19"/>
        </w:rPr>
      </w:pPr>
      <w:r>
        <w:rPr>
          <w:rFonts w:cs="Times New Roman" w:ascii="Times New Roman" w:hAnsi="Times New Roman"/>
          <w:b w:val="false"/>
          <w:bCs w:val="false"/>
          <w:sz w:val="19"/>
          <w:szCs w:val="19"/>
        </w:rPr>
      </w:r>
    </w:p>
    <w:p>
      <w:pPr>
        <w:pStyle w:val="Normal"/>
        <w:rPr/>
      </w:pPr>
      <w:r>
        <w:rPr/>
      </w:r>
    </w:p>
    <w:p>
      <w:pPr>
        <w:pStyle w:val="Normal"/>
        <w:ind w:firstLine="180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 xml:space="preserve">Начальник </w:t>
        <w:tab/>
        <w:tab/>
        <w:tab/>
        <w:tab/>
        <w:t xml:space="preserve">                                            Директор филиала</w:t>
      </w:r>
    </w:p>
    <w:p>
      <w:pPr>
        <w:pStyle w:val="Normal"/>
        <w:ind w:firstLine="180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 xml:space="preserve">  </w:t>
      </w:r>
      <w:r>
        <w:rPr>
          <w:b/>
          <w:sz w:val="19"/>
          <w:szCs w:val="19"/>
        </w:rPr>
        <w:tab/>
        <w:tab/>
        <w:tab/>
        <w:t xml:space="preserve">                                                                       ФГУП «Охрана» Росгвардии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ab/>
        <w:tab/>
        <w:tab/>
        <w:tab/>
        <w:tab/>
        <w:tab/>
        <w:tab/>
        <w:t>по Орловской области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firstLine="142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 xml:space="preserve">_________________________________ </w:t>
        <w:tab/>
        <w:tab/>
        <w:tab/>
        <w:tab/>
        <w:t xml:space="preserve"> _________________________</w:t>
      </w:r>
    </w:p>
    <w:p>
      <w:pPr>
        <w:pStyle w:val="Normal"/>
        <w:ind w:left="426" w:firstLine="567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>
        <w:rPr>
          <w:sz w:val="16"/>
          <w:szCs w:val="16"/>
        </w:rPr>
        <w:t>М.П. (подпись)</w:t>
        <w:tab/>
        <w:tab/>
        <w:tab/>
        <w:tab/>
        <w:tab/>
        <w:t>М.П. (подпись)</w:t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>
          <w:b/>
          <w:b/>
          <w:sz w:val="19"/>
          <w:szCs w:val="19"/>
        </w:rPr>
      </w:pPr>
      <w:r>
        <w:rPr>
          <w:b/>
          <w:sz w:val="19"/>
          <w:szCs w:val="19"/>
        </w:rPr>
        <w:t>«ЗАКАЗЧИК»</w:t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left="426" w:firstLine="567"/>
        <w:rPr>
          <w:b/>
          <w:b/>
          <w:sz w:val="19"/>
          <w:szCs w:val="19"/>
        </w:rPr>
      </w:pPr>
      <w:r>
        <w:rPr>
          <w:b/>
          <w:sz w:val="19"/>
          <w:szCs w:val="19"/>
        </w:rPr>
      </w:r>
    </w:p>
    <w:p>
      <w:pPr>
        <w:pStyle w:val="Normal"/>
        <w:ind w:hanging="0"/>
        <w:rPr/>
      </w:pPr>
      <w:r>
        <w:rPr/>
        <w:t>______________________</w:t>
      </w:r>
    </w:p>
    <w:p>
      <w:pPr>
        <w:pStyle w:val="Normal"/>
        <w:ind w:hanging="0"/>
        <w:rPr/>
      </w:pPr>
      <w:r>
        <w:rPr/>
        <w:t xml:space="preserve">         </w:t>
      </w: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(подпись)                                  </w:t>
      </w:r>
    </w:p>
    <w:p>
      <w:pPr>
        <w:pStyle w:val="Normal"/>
        <w:ind w:left="426" w:firstLine="567"/>
        <w:rPr>
          <w:sz w:val="19"/>
          <w:szCs w:val="19"/>
        </w:rPr>
      </w:pPr>
      <w:r>
        <w:rPr>
          <w:sz w:val="19"/>
          <w:szCs w:val="19"/>
        </w:rPr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  <w:t xml:space="preserve">Приложение № </w:t>
      </w:r>
      <w:bookmarkStart w:id="0" w:name="_GoBack"/>
      <w:bookmarkEnd w:id="0"/>
      <w:r>
        <w:rPr>
          <w:rFonts w:cs="Times New Roman" w:ascii="Times New Roman" w:hAnsi="Times New Roman"/>
          <w:b/>
          <w:color w:val="FF0000"/>
          <w:sz w:val="28"/>
          <w:szCs w:val="28"/>
        </w:rPr>
        <w:t xml:space="preserve">3 к договору </w:t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  <w:t xml:space="preserve">№  </w:t>
      </w:r>
      <w:r>
        <w:rPr>
          <w:rFonts w:cs="Times New Roman" w:ascii="Times New Roman" w:hAnsi="Times New Roman"/>
          <w:b/>
          <w:color w:val="FF0000"/>
          <w:sz w:val="28"/>
          <w:szCs w:val="28"/>
        </w:rPr>
        <w:t>/___________________</w:t>
      </w:r>
    </w:p>
    <w:p>
      <w:pPr>
        <w:pStyle w:val="ConsPlusNonformat"/>
        <w:widowControl/>
        <w:ind w:left="6379" w:hanging="0"/>
        <w:jc w:val="both"/>
        <w:rPr>
          <w:rFonts w:ascii="Times New Roman" w:hAnsi="Times New Roman" w:cs="Times New Roman"/>
          <w:b/>
          <w:b/>
          <w:color w:val="FF0000"/>
          <w:sz w:val="28"/>
          <w:szCs w:val="28"/>
          <w:u w:val="single"/>
        </w:rPr>
      </w:pPr>
      <w:r>
        <w:rPr>
          <w:rFonts w:cs="Times New Roman" w:ascii="Times New Roman" w:hAnsi="Times New Roman"/>
          <w:b/>
          <w:color w:val="FF0000"/>
          <w:sz w:val="28"/>
          <w:szCs w:val="28"/>
        </w:rPr>
        <w:t>от « ___ » ___________ 2025г.</w:t>
      </w:r>
    </w:p>
    <w:p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СОГЛАСИЕ</w:t>
      </w:r>
    </w:p>
    <w:p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обработку персональных данных</w:t>
      </w:r>
    </w:p>
    <w:p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Я, __________________________________________________</w:t>
      </w:r>
    </w:p>
    <w:p>
      <w:pPr>
        <w:pStyle w:val="ConsPlusNonformat"/>
        <w:widowControl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cs="Times New Roman" w:ascii="Times New Roman" w:hAnsi="Times New Roman"/>
          <w:sz w:val="22"/>
          <w:szCs w:val="22"/>
        </w:rPr>
        <w:t>(фамилия, имя, отчество)</w:t>
      </w:r>
    </w:p>
    <w:p>
      <w:pPr>
        <w:pStyle w:val="Normal"/>
        <w:shd w:val="clear" w:color="auto" w:fill="FFFFFF"/>
        <w:tabs>
          <w:tab w:val="clear" w:pos="709"/>
          <w:tab w:val="left" w:pos="9840" w:leader="underscore"/>
        </w:tabs>
        <w:ind w:hanging="0"/>
        <w:rPr/>
      </w:pPr>
      <w:r>
        <w:rPr>
          <w:sz w:val="28"/>
          <w:szCs w:val="28"/>
        </w:rPr>
        <w:t>зарегистрированный по адресу:______________________,</w:t>
      </w:r>
    </w:p>
    <w:p>
      <w:pPr>
        <w:pStyle w:val="Normal"/>
        <w:shd w:val="clear" w:color="auto" w:fill="FFFFFF"/>
        <w:tabs>
          <w:tab w:val="clear" w:pos="709"/>
          <w:tab w:val="left" w:pos="9840" w:leader="underscore"/>
        </w:tabs>
        <w:ind w:hanging="0"/>
        <w:rPr>
          <w:sz w:val="28"/>
          <w:szCs w:val="28"/>
        </w:rPr>
      </w:pPr>
      <w:r>
        <w:rPr>
          <w:sz w:val="28"/>
          <w:szCs w:val="28"/>
        </w:rPr>
        <w:t>документ, удостоверяющий  личность:______________________,</w:t>
      </w:r>
    </w:p>
    <w:p>
      <w:pPr>
        <w:pStyle w:val="Normal"/>
        <w:shd w:val="clear" w:color="auto" w:fill="FFFFFF"/>
        <w:tabs>
          <w:tab w:val="clear" w:pos="709"/>
          <w:tab w:val="left" w:pos="9840" w:leader="underscore"/>
        </w:tabs>
        <w:ind w:hanging="0"/>
        <w:rPr>
          <w:sz w:val="28"/>
          <w:szCs w:val="28"/>
        </w:rPr>
      </w:pPr>
      <w:r>
        <w:rPr>
          <w:sz w:val="28"/>
          <w:szCs w:val="28"/>
        </w:rPr>
        <w:t xml:space="preserve">кем и когда выдан, </w:t>
      </w:r>
    </w:p>
    <w:p>
      <w:pPr>
        <w:pStyle w:val="Normal"/>
        <w:shd w:val="clear" w:color="auto" w:fill="FFFFFF"/>
        <w:tabs>
          <w:tab w:val="clear" w:pos="709"/>
          <w:tab w:val="left" w:pos="9840" w:leader="underscore"/>
        </w:tabs>
        <w:ind w:hanging="0"/>
        <w:rPr>
          <w:b/>
          <w:b/>
          <w:bCs/>
          <w:sz w:val="22"/>
          <w:szCs w:val="22"/>
        </w:rPr>
      </w:pPr>
      <w:r>
        <w:rPr>
          <w:sz w:val="28"/>
          <w:szCs w:val="28"/>
        </w:rPr>
        <w:t xml:space="preserve">в соответствии с </w:t>
      </w:r>
      <w:hyperlink r:id="rId4">
        <w:r>
          <w:rPr>
            <w:sz w:val="28"/>
            <w:szCs w:val="28"/>
          </w:rPr>
          <w:t>п. 4 ст. 9</w:t>
        </w:r>
      </w:hyperlink>
      <w:r>
        <w:rPr>
          <w:sz w:val="28"/>
          <w:szCs w:val="28"/>
        </w:rPr>
        <w:t xml:space="preserve"> Федерального закона от 27.07.2006 № 152-ФЗ «О персональных данных» (далее - Закон) и в целях исполнения сторонами обязательств по договору: </w:t>
      </w:r>
      <w:r>
        <w:rPr>
          <w:bCs/>
          <w:sz w:val="28"/>
          <w:szCs w:val="28"/>
        </w:rPr>
        <w:t>об экстренном вызове наряда войск национальной гвардии в случае угрозы личной или имущественной безопасности, техническом обслуживании технических средств охраны</w:t>
      </w:r>
    </w:p>
    <w:p>
      <w:pPr>
        <w:pStyle w:val="Normal"/>
        <w:shd w:val="clear" w:color="auto" w:fill="FFFFFF"/>
        <w:tabs>
          <w:tab w:val="clear" w:pos="709"/>
          <w:tab w:val="left" w:pos="2124" w:leader="underscore"/>
          <w:tab w:val="left" w:pos="3257" w:leader="underscore"/>
          <w:tab w:val="left" w:pos="4459" w:leader="underscore"/>
          <w:tab w:val="left" w:pos="9866" w:leader="underscore"/>
        </w:tabs>
        <w:ind w:hanging="0"/>
        <w:rPr/>
      </w:pPr>
      <w:r>
        <w:rPr>
          <w:color w:val="FF0000"/>
          <w:sz w:val="28"/>
          <w:szCs w:val="28"/>
        </w:rPr>
        <w:t>от «     »                      2025 г.</w:t>
      </w:r>
      <w:r>
        <w:rPr>
          <w:sz w:val="28"/>
          <w:szCs w:val="28"/>
        </w:rPr>
        <w:t xml:space="preserve"> № __ /______________(далее - Договор),</w:t>
      </w:r>
    </w:p>
    <w:p>
      <w:pPr>
        <w:pStyle w:val="ConsPlusNonformat"/>
        <w:widowControl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даю согласие Федеральному государственному унитарному предприятию «Охрана» Федеральной службы войск национальной гвардии Российской Федерации (далее –«ФГУП «Охрана» Росгвардии») в лице филиала ФГУП «Охрана» Росгвардии по  Орловской области, находящегося по адресу: 302026, г. Орел, ул. Карачевская, д. 84 и федеральному государственному казенному учреждению «Управление вневедомственной охраны войск национальной гвардии Российской Федерации по Орловской области», находящегося по адресу: 302040, г. Орел, ул. М.Горького, д.47 З, кор. 1,2 на обработку персональных данных, т.е. совершение действий, предусмотренных </w:t>
      </w:r>
      <w:hyperlink r:id="rId5">
        <w:r>
          <w:rPr>
            <w:rFonts w:cs="Times New Roman" w:ascii="Times New Roman" w:hAnsi="Times New Roman"/>
            <w:sz w:val="28"/>
            <w:szCs w:val="28"/>
          </w:rPr>
          <w:t>п.3 ст.3</w:t>
        </w:r>
      </w:hyperlink>
      <w:r>
        <w:rPr>
          <w:rFonts w:cs="Times New Roman" w:ascii="Times New Roman" w:hAnsi="Times New Roman"/>
          <w:sz w:val="28"/>
          <w:szCs w:val="28"/>
        </w:rPr>
        <w:t xml:space="preserve"> Закона, относящихся ко мне и моим доверенным лицам прямо или косвенно.</w:t>
      </w:r>
    </w:p>
    <w:p>
      <w:pPr>
        <w:pStyle w:val="Normal"/>
        <w:ind w:firstLine="709"/>
        <w:rPr>
          <w:sz w:val="28"/>
          <w:szCs w:val="28"/>
        </w:rPr>
      </w:pPr>
      <w:r>
        <w:rPr>
          <w:sz w:val="28"/>
          <w:szCs w:val="28"/>
        </w:rPr>
        <w:t>Настоящее согласие действует со дня вступления в силу условий заключенного Договора до истечения сроков хранения соответствующей информации или документов, содержащих указанную информацию, определяемых в соответствии с законодательством Российской Федерации, или его отзыва в письменной форме.</w:t>
      </w:r>
    </w:p>
    <w:p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  положениями Федерального закона от 27.07.2006 № 152-ФЗ «О персональных данных» ознакомлен (а).</w:t>
      </w:r>
    </w:p>
    <w:p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nformat"/>
        <w:widowControl/>
        <w:rPr/>
      </w:pPr>
      <w:r>
        <w:rPr>
          <w:rFonts w:cs="Times New Roman" w:ascii="Times New Roman" w:hAnsi="Times New Roman"/>
          <w:b/>
          <w:color w:val="000000"/>
          <w:sz w:val="24"/>
          <w:szCs w:val="24"/>
          <w:u w:val="single"/>
        </w:rPr>
        <w:t>______________</w:t>
      </w:r>
      <w:r>
        <w:rPr>
          <w:rFonts w:cs="Times New Roman"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_________________</w:t>
      </w:r>
    </w:p>
    <w:p>
      <w:pPr>
        <w:pStyle w:val="ConsPlusNonformat"/>
        <w:widowControl/>
        <w:rPr/>
      </w:pPr>
      <w:r>
        <w:rPr>
          <w:rFonts w:cs="Times New Roman" w:ascii="Times New Roman" w:hAnsi="Times New Roman"/>
          <w:b/>
          <w:i/>
          <w:sz w:val="18"/>
          <w:szCs w:val="18"/>
        </w:rPr>
        <w:t xml:space="preserve">       </w:t>
      </w:r>
      <w:r>
        <w:rPr>
          <w:rFonts w:cs="Times New Roman" w:ascii="Times New Roman" w:hAnsi="Times New Roman"/>
          <w:b/>
          <w:i/>
          <w:sz w:val="18"/>
          <w:szCs w:val="18"/>
        </w:rPr>
        <w:t xml:space="preserve">Ф.И.О </w:t>
        <w:tab/>
        <w:tab/>
        <w:tab/>
        <w:tab/>
        <w:tab/>
        <w:t xml:space="preserve">                                                                                              Подпись</w:t>
      </w:r>
    </w:p>
    <w:p>
      <w:pPr>
        <w:pStyle w:val="ConsPlusNonformat"/>
        <w:widowControl/>
        <w:rPr>
          <w:rFonts w:ascii="Times New Roman" w:hAnsi="Times New Roman" w:cs="Times New Roman"/>
          <w:b/>
          <w:b/>
          <w:i/>
          <w:i/>
          <w:sz w:val="18"/>
          <w:szCs w:val="18"/>
        </w:rPr>
      </w:pPr>
      <w:r>
        <w:rPr>
          <w:rFonts w:cs="Times New Roman" w:ascii="Times New Roman" w:hAnsi="Times New Roman"/>
          <w:b/>
          <w:i/>
          <w:sz w:val="18"/>
          <w:szCs w:val="18"/>
        </w:rPr>
      </w:r>
    </w:p>
    <w:p>
      <w:pPr>
        <w:pStyle w:val="ConsPlusNonformat"/>
        <w:widowControl/>
        <w:ind w:left="6372" w:hanging="0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</w:r>
    </w:p>
    <w:p>
      <w:pPr>
        <w:pStyle w:val="ConsPlusNonformat"/>
        <w:widowControl/>
        <w:ind w:left="6372" w:hanging="0"/>
        <w:rPr>
          <w:rFonts w:ascii="Times New Roman" w:hAnsi="Times New Roman" w:cs="Times New Roman"/>
          <w:b/>
          <w:b/>
          <w:sz w:val="22"/>
          <w:szCs w:val="22"/>
        </w:rPr>
      </w:pPr>
      <w:r>
        <w:rPr>
          <w:rFonts w:cs="Times New Roman" w:ascii="Times New Roman" w:hAnsi="Times New Roman"/>
          <w:b/>
          <w:sz w:val="22"/>
          <w:szCs w:val="22"/>
        </w:rPr>
      </w:r>
    </w:p>
    <w:p>
      <w:pPr>
        <w:pStyle w:val="ConsPlusNonformat"/>
        <w:widowControl/>
        <w:ind w:left="6372" w:hanging="0"/>
        <w:rPr>
          <w:rFonts w:ascii="Times New Roman" w:hAnsi="Times New Roman" w:cs="Times New Roman"/>
          <w:b/>
          <w:b/>
          <w:sz w:val="22"/>
          <w:szCs w:val="22"/>
        </w:rPr>
      </w:pPr>
      <w:r>
        <w:rPr/>
      </w:r>
    </w:p>
    <w:sectPr>
      <w:headerReference w:type="default" r:id="rId6"/>
      <w:type w:val="nextPage"/>
      <w:pgSz w:w="11906" w:h="16838"/>
      <w:pgMar w:left="851" w:right="567" w:header="709" w:top="766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Arial Narrow">
    <w:charset w:val="01"/>
    <w:family w:val="swiss"/>
    <w:pitch w:val="default"/>
  </w:font>
  <w:font w:name="Arial">
    <w:charset w:val="01"/>
    <w:family w:val="swiss"/>
    <w:pitch w:val="default"/>
  </w:font>
  <w:font w:name="PT Sans">
    <w:charset w:val="01"/>
    <w:family w:val="swiss"/>
    <w:pitch w:val="default"/>
  </w:font>
  <w:font w:name="Courier New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644" w:hanging="36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77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24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3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1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528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23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584" w:hanging="1440"/>
      </w:pPr>
    </w:lvl>
  </w:abstractNum>
  <w:abstractNum w:abstractNumId="2">
    <w:lvl w:ilvl="0">
      <w:start w:val="8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6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9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d4bf2"/>
    <w:pPr>
      <w:widowControl w:val="false"/>
      <w:bidi w:val="0"/>
      <w:spacing w:before="0" w:after="0"/>
      <w:ind w:firstLine="567"/>
      <w:jc w:val="both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ru-RU" w:val="ru-RU" w:bidi="ar-SA"/>
    </w:rPr>
  </w:style>
  <w:style w:type="paragraph" w:styleId="1">
    <w:name w:val="Heading 1"/>
    <w:basedOn w:val="Normal"/>
    <w:next w:val="Normal"/>
    <w:link w:val="10"/>
    <w:uiPriority w:val="99"/>
    <w:qFormat/>
    <w:rsid w:val="00194c9c"/>
    <w:pPr>
      <w:keepNext w:val="true"/>
      <w:widowControl/>
      <w:ind w:hanging="0"/>
      <w:jc w:val="left"/>
      <w:outlineLvl w:val="0"/>
    </w:pPr>
    <w:rPr>
      <w:rFonts w:ascii="Arial Narrow" w:hAnsi="Arial Narrow"/>
      <w:b/>
      <w:bCs/>
      <w:sz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 w:customStyle="1">
    <w:name w:val="Основной текст Знак"/>
    <w:basedOn w:val="DefaultParagraphFont"/>
    <w:link w:val="a3"/>
    <w:uiPriority w:val="99"/>
    <w:qFormat/>
    <w:rsid w:val="00ad4bf2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4" w:customStyle="1">
    <w:name w:val="Заголовок Знак"/>
    <w:basedOn w:val="DefaultParagraphFont"/>
    <w:link w:val="a5"/>
    <w:qFormat/>
    <w:rsid w:val="00ad4bf2"/>
    <w:rPr>
      <w:rFonts w:ascii="Times New Roman" w:hAnsi="Times New Roman" w:eastAsia="Times New Roman" w:cs="Times New Roman"/>
      <w:b/>
      <w:sz w:val="32"/>
      <w:szCs w:val="20"/>
      <w:lang w:eastAsia="ru-RU"/>
    </w:rPr>
  </w:style>
  <w:style w:type="character" w:styleId="2" w:customStyle="1">
    <w:name w:val="Основной текст (2)_"/>
    <w:basedOn w:val="DefaultParagraphFont"/>
    <w:link w:val="20"/>
    <w:qFormat/>
    <w:rsid w:val="00ad4bf2"/>
    <w:rPr>
      <w:rFonts w:ascii="Arial" w:hAnsi="Arial" w:eastAsia="Arial" w:cs="Arial"/>
      <w:sz w:val="19"/>
      <w:szCs w:val="19"/>
      <w:shd w:fill="FFFFFF" w:val="clear"/>
    </w:rPr>
  </w:style>
  <w:style w:type="character" w:styleId="Style15">
    <w:name w:val="Интернет-ссылка"/>
    <w:rsid w:val="00143861"/>
    <w:rPr>
      <w:color w:val="0000FF"/>
      <w:u w:val="single"/>
    </w:rPr>
  </w:style>
  <w:style w:type="character" w:styleId="11" w:customStyle="1">
    <w:name w:val="Заголовок 1 Знак"/>
    <w:basedOn w:val="DefaultParagraphFont"/>
    <w:link w:val="1"/>
    <w:uiPriority w:val="99"/>
    <w:qFormat/>
    <w:rsid w:val="00194c9c"/>
    <w:rPr>
      <w:rFonts w:ascii="Arial Narrow" w:hAnsi="Arial Narrow" w:eastAsia="Times New Roman" w:cs="Times New Roman"/>
      <w:b/>
      <w:bCs/>
      <w:sz w:val="18"/>
      <w:szCs w:val="20"/>
      <w:lang w:eastAsia="ru-RU"/>
    </w:rPr>
  </w:style>
  <w:style w:type="character" w:styleId="Style16" w:customStyle="1">
    <w:name w:val="Верхний колонтитул Знак"/>
    <w:basedOn w:val="DefaultParagraphFont"/>
    <w:link w:val="a9"/>
    <w:uiPriority w:val="99"/>
    <w:qFormat/>
    <w:rsid w:val="00fe010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7" w:customStyle="1">
    <w:name w:val="Нижний колонтитул Знак"/>
    <w:basedOn w:val="DefaultParagraphFont"/>
    <w:link w:val="ab"/>
    <w:uiPriority w:val="99"/>
    <w:semiHidden/>
    <w:qFormat/>
    <w:rsid w:val="00fe0109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WW8Num1z5" w:customStyle="1">
    <w:name w:val="WW8Num1z5"/>
    <w:qFormat/>
    <w:rsid w:val="00ec7674"/>
    <w:rPr/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9">
    <w:name w:val="Body Text"/>
    <w:basedOn w:val="Normal"/>
    <w:link w:val="a4"/>
    <w:uiPriority w:val="99"/>
    <w:unhideWhenUsed/>
    <w:rsid w:val="00ad4bf2"/>
    <w:pPr>
      <w:spacing w:before="0" w:after="120"/>
    </w:pPr>
    <w:rPr/>
  </w:style>
  <w:style w:type="paragraph" w:styleId="Style20">
    <w:name w:val="List"/>
    <w:basedOn w:val="Style19"/>
    <w:pPr/>
    <w:rPr>
      <w:rFonts w:ascii="PT Sans" w:hAnsi="PT Sans" w:cs="Noto Sans Devanagari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Style23">
    <w:name w:val="Title"/>
    <w:basedOn w:val="Normal"/>
    <w:link w:val="a6"/>
    <w:qFormat/>
    <w:rsid w:val="00ad4bf2"/>
    <w:pPr>
      <w:spacing w:lineRule="atLeast" w:line="240"/>
      <w:jc w:val="center"/>
    </w:pPr>
    <w:rPr>
      <w:b/>
      <w:sz w:val="32"/>
    </w:rPr>
  </w:style>
  <w:style w:type="paragraph" w:styleId="21" w:customStyle="1">
    <w:name w:val="Основной текст (2)"/>
    <w:basedOn w:val="Normal"/>
    <w:link w:val="2"/>
    <w:qFormat/>
    <w:rsid w:val="00ad4bf2"/>
    <w:pPr>
      <w:shd w:val="clear" w:color="auto" w:fill="FFFFFF"/>
      <w:spacing w:lineRule="exact" w:line="226" w:before="700" w:after="1000"/>
    </w:pPr>
    <w:rPr>
      <w:rFonts w:ascii="Arial" w:hAnsi="Arial" w:eastAsia="Arial" w:cs="Arial"/>
      <w:sz w:val="19"/>
      <w:szCs w:val="19"/>
      <w:lang w:eastAsia="en-US"/>
    </w:rPr>
  </w:style>
  <w:style w:type="paragraph" w:styleId="ListParagraph">
    <w:name w:val="List Paragraph"/>
    <w:basedOn w:val="Normal"/>
    <w:uiPriority w:val="34"/>
    <w:qFormat/>
    <w:rsid w:val="00ad4bf2"/>
    <w:pPr>
      <w:spacing w:before="0" w:after="0"/>
      <w:ind w:left="720" w:firstLine="567"/>
      <w:contextualSpacing/>
    </w:pPr>
    <w:rPr/>
  </w:style>
  <w:style w:type="paragraph" w:styleId="ConsPlusNonformat" w:customStyle="1">
    <w:name w:val="ConsPlusNonformat"/>
    <w:qFormat/>
    <w:rsid w:val="00590271"/>
    <w:pPr>
      <w:widowControl w:val="false"/>
      <w:bidi w:val="0"/>
      <w:spacing w:before="0" w:after="0"/>
      <w:ind w:hanging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link w:val="aa"/>
    <w:uiPriority w:val="99"/>
    <w:unhideWhenUsed/>
    <w:rsid w:val="00fe0109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link w:val="ac"/>
    <w:uiPriority w:val="99"/>
    <w:semiHidden/>
    <w:unhideWhenUsed/>
    <w:rsid w:val="00fe0109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NormalWeb">
    <w:name w:val="Normal (Web)"/>
    <w:basedOn w:val="Normal"/>
    <w:uiPriority w:val="99"/>
    <w:unhideWhenUsed/>
    <w:qFormat/>
    <w:rsid w:val="00114f31"/>
    <w:pPr>
      <w:widowControl/>
      <w:spacing w:beforeAutospacing="1" w:afterAutospacing="1"/>
      <w:ind w:hanging="0"/>
      <w:jc w:val="left"/>
    </w:pPr>
    <w:rPr>
      <w:sz w:val="24"/>
      <w:szCs w:val="24"/>
    </w:rPr>
  </w:style>
  <w:style w:type="paragraph" w:styleId="111" w:customStyle="1">
    <w:name w:val="Заголовок 11"/>
    <w:basedOn w:val="Normal"/>
    <w:next w:val="Normal"/>
    <w:qFormat/>
    <w:rsid w:val="0005068d"/>
    <w:pPr>
      <w:keepNext w:val="true"/>
      <w:widowControl/>
      <w:suppressAutoHyphens w:val="true"/>
      <w:ind w:hanging="0"/>
      <w:jc w:val="left"/>
    </w:pPr>
    <w:rPr>
      <w:rFonts w:ascii="Arial Narrow" w:hAnsi="Arial Narrow" w:cs="Arial Narrow"/>
      <w:b/>
      <w:bCs/>
      <w:sz w:val="18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a7065f"/>
    <w:pPr>
      <w:jc w:val="left"/>
    </w:pPr>
    <w:rPr>
      <w:lang w:eastAsia="zh-CN" w:bidi="hi-IN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fgup-orel@mail.ru" TargetMode="External"/><Relationship Id="rId3" Type="http://schemas.openxmlformats.org/officeDocument/2006/relationships/hyperlink" Target="mailto:fguporel57@yandex.ru" TargetMode="External"/><Relationship Id="rId4" Type="http://schemas.openxmlformats.org/officeDocument/2006/relationships/hyperlink" Target="consultantplus://offline/ref=802A5B008F7AAFCF16C2E3F5BC8A7E944381FEAC52A09EA918CE26423A077CAD04FB04799E562646rCa2F" TargetMode="External"/><Relationship Id="rId5" Type="http://schemas.openxmlformats.org/officeDocument/2006/relationships/hyperlink" Target="consultantplus://offline/ref=802A5B008F7AAFCF16C2E3F5BC8A7E944381FEAC52A09EA918CE26423A077CAD04FB04799E562643rCa0F" TargetMode="External"/><Relationship Id="rId6" Type="http://schemas.openxmlformats.org/officeDocument/2006/relationships/header" Target="header1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BBE84-7F04-429B-BB18-06ADEF22A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Application>LibreOffice/6.4.7.2$Linux_X86_64 LibreOffice_project/155c490457025f32143219b3c36f6c1abf1f2442</Application>
  <Pages>11</Pages>
  <Words>4109</Words>
  <Characters>30290</Characters>
  <CharactersWithSpaces>35389</CharactersWithSpaces>
  <Paragraphs>250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2025-07-25T09:14:00Z</dcterms:created>
  <dc:creator>Новая</dc:creator>
  <dc:description/>
  <dc:language>ru-RU</dc:language>
  <cp:lastModifiedBy/>
  <cp:lastPrinted>2024-09-17T06:02:00Z</cp:lastPrinted>
  <dcterms:modified xsi:type="dcterms:W3CDTF">2025-08-05T16:24:49Z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